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1C7155" w14:textId="77777777" w:rsidR="009F436C" w:rsidRDefault="009F436C" w:rsidP="00382FEC"/>
    <w:p w14:paraId="6C1C7156" w14:textId="77777777" w:rsidR="002D2D44" w:rsidRPr="006E7BAE" w:rsidRDefault="002D2D44" w:rsidP="00382FEC"/>
    <w:p w14:paraId="6C1C7157" w14:textId="77777777" w:rsidR="009F436C" w:rsidRPr="006E7BAE" w:rsidRDefault="009F436C" w:rsidP="00382FEC"/>
    <w:p w14:paraId="6C1C7158" w14:textId="77777777" w:rsidR="0016666F" w:rsidRPr="006E7BAE" w:rsidRDefault="0016666F" w:rsidP="00382FEC"/>
    <w:p w14:paraId="6C1C7159" w14:textId="77777777" w:rsidR="0016666F" w:rsidRDefault="0016666F" w:rsidP="00382FEC"/>
    <w:p w14:paraId="6C1C715A" w14:textId="77777777" w:rsidR="00D83B8C" w:rsidRDefault="00D83B8C" w:rsidP="00382FEC"/>
    <w:p w14:paraId="6C1C715B" w14:textId="77777777" w:rsidR="008763A3" w:rsidRDefault="008763A3" w:rsidP="00382FEC"/>
    <w:p w14:paraId="6C1C715C" w14:textId="77777777" w:rsidR="00D83B8C" w:rsidRDefault="00D83B8C" w:rsidP="00382FEC"/>
    <w:p w14:paraId="6C1C715D" w14:textId="77777777" w:rsidR="00D83B8C" w:rsidRDefault="00D83B8C" w:rsidP="00382FEC"/>
    <w:p w14:paraId="6C1C715E" w14:textId="77777777" w:rsidR="00D83B8C" w:rsidRDefault="00D83B8C" w:rsidP="00382FEC"/>
    <w:p w14:paraId="10B90C6F" w14:textId="77777777" w:rsidR="00EF37E2" w:rsidRDefault="00EF37E2" w:rsidP="00382FEC"/>
    <w:p w14:paraId="6C1C715F" w14:textId="77777777" w:rsidR="00D83B8C" w:rsidRPr="006E7BAE" w:rsidRDefault="00D83B8C" w:rsidP="00382FEC"/>
    <w:p w14:paraId="6C1C7160" w14:textId="77777777" w:rsidR="009F436C" w:rsidRPr="006E7BAE" w:rsidRDefault="009F436C" w:rsidP="00382FEC"/>
    <w:p w14:paraId="6C1C7161" w14:textId="77777777" w:rsidR="009F436C" w:rsidRPr="006E7BAE" w:rsidRDefault="003A37CF" w:rsidP="00AE2077">
      <w:pPr>
        <w:jc w:val="right"/>
      </w:pPr>
      <w:r w:rsidRPr="006E7BAE">
        <w:t xml:space="preserve">No. </w:t>
      </w:r>
      <w:r>
        <w:t>37521</w:t>
      </w:r>
      <w:r w:rsidR="0016666F" w:rsidRPr="006E7BAE">
        <w:t>     </w:t>
      </w:r>
    </w:p>
    <w:p w14:paraId="6C1C7162" w14:textId="77777777" w:rsidR="009F436C" w:rsidRPr="006E7BAE" w:rsidRDefault="009F436C" w:rsidP="00382FEC"/>
    <w:p w14:paraId="6C1C7163" w14:textId="77777777" w:rsidR="002568D3" w:rsidRPr="006E7BAE" w:rsidRDefault="002568D3" w:rsidP="00382FEC"/>
    <w:tbl>
      <w:tblPr>
        <w:tblW w:w="5144" w:type="pct"/>
        <w:tblInd w:w="-270" w:type="dxa"/>
        <w:tblLayout w:type="fixed"/>
        <w:tblCellMar>
          <w:top w:w="58" w:type="dxa"/>
          <w:left w:w="58" w:type="dxa"/>
          <w:bottom w:w="58" w:type="dxa"/>
          <w:right w:w="58" w:type="dxa"/>
        </w:tblCellMar>
        <w:tblLook w:val="0000" w:firstRow="0" w:lastRow="0" w:firstColumn="0" w:lastColumn="0" w:noHBand="0" w:noVBand="0"/>
      </w:tblPr>
      <w:tblGrid>
        <w:gridCol w:w="4501"/>
        <w:gridCol w:w="730"/>
        <w:gridCol w:w="4399"/>
      </w:tblGrid>
      <w:tr w:rsidR="00417FB7" w:rsidRPr="006E7BAE" w14:paraId="6C1C7167" w14:textId="77777777" w:rsidTr="00025533">
        <w:tc>
          <w:tcPr>
            <w:tcW w:w="2337" w:type="pct"/>
          </w:tcPr>
          <w:p w14:paraId="6C1C7164" w14:textId="77777777" w:rsidR="00417FB7" w:rsidRPr="006E7BAE" w:rsidRDefault="00025533" w:rsidP="008262A3">
            <w:r>
              <w:t>July 6</w:t>
            </w:r>
            <w:r w:rsidR="00B328CD">
              <w:t>, 2017</w:t>
            </w:r>
          </w:p>
        </w:tc>
        <w:tc>
          <w:tcPr>
            <w:tcW w:w="379" w:type="pct"/>
          </w:tcPr>
          <w:p w14:paraId="6C1C7165" w14:textId="77777777" w:rsidR="00417FB7" w:rsidRPr="006E7BAE" w:rsidRDefault="00417FB7" w:rsidP="00382FEC"/>
        </w:tc>
        <w:tc>
          <w:tcPr>
            <w:tcW w:w="2284" w:type="pct"/>
          </w:tcPr>
          <w:p w14:paraId="6C1C7166" w14:textId="77777777" w:rsidR="00417FB7" w:rsidRPr="00D83B8C" w:rsidRDefault="00B328CD" w:rsidP="00025533">
            <w:pPr>
              <w:rPr>
                <w:lang w:val="en-US"/>
              </w:rPr>
            </w:pPr>
            <w:r>
              <w:t xml:space="preserve">Le </w:t>
            </w:r>
            <w:r w:rsidR="00025533">
              <w:t xml:space="preserve">6 juillet </w:t>
            </w:r>
            <w:r>
              <w:t>2017</w:t>
            </w:r>
          </w:p>
        </w:tc>
      </w:tr>
      <w:tr w:rsidR="00E12A51" w:rsidRPr="006E7BAE" w14:paraId="6C1C716B" w14:textId="77777777" w:rsidTr="00025533">
        <w:tc>
          <w:tcPr>
            <w:tcW w:w="2337" w:type="pct"/>
            <w:tcMar>
              <w:top w:w="0" w:type="dxa"/>
              <w:bottom w:w="0" w:type="dxa"/>
            </w:tcMar>
          </w:tcPr>
          <w:p w14:paraId="6C1C7168" w14:textId="77777777" w:rsidR="00C2612E" w:rsidRPr="006E7BAE" w:rsidRDefault="00C2612E" w:rsidP="008262A3"/>
        </w:tc>
        <w:tc>
          <w:tcPr>
            <w:tcW w:w="379" w:type="pct"/>
            <w:tcMar>
              <w:top w:w="0" w:type="dxa"/>
              <w:bottom w:w="0" w:type="dxa"/>
            </w:tcMar>
          </w:tcPr>
          <w:p w14:paraId="6C1C7169" w14:textId="77777777" w:rsidR="00E12A51" w:rsidRPr="006E7BAE" w:rsidRDefault="00E12A51" w:rsidP="00382FEC"/>
        </w:tc>
        <w:tc>
          <w:tcPr>
            <w:tcW w:w="2284" w:type="pct"/>
            <w:tcMar>
              <w:top w:w="0" w:type="dxa"/>
              <w:bottom w:w="0" w:type="dxa"/>
            </w:tcMar>
          </w:tcPr>
          <w:p w14:paraId="6C1C716A" w14:textId="77777777" w:rsidR="00E12A51" w:rsidRPr="00D83B8C" w:rsidRDefault="00E12A51" w:rsidP="00816B78">
            <w:pPr>
              <w:rPr>
                <w:lang w:val="en-US"/>
              </w:rPr>
            </w:pPr>
          </w:p>
        </w:tc>
      </w:tr>
      <w:tr w:rsidR="00417FB7" w:rsidRPr="001D4577" w14:paraId="6C1C716F" w14:textId="77777777" w:rsidTr="00025533">
        <w:tc>
          <w:tcPr>
            <w:tcW w:w="2337" w:type="pct"/>
          </w:tcPr>
          <w:p w14:paraId="6C1C716C" w14:textId="004B3973" w:rsidR="00417FB7" w:rsidRPr="006E7BAE" w:rsidRDefault="00417FB7" w:rsidP="00B755FB">
            <w:r w:rsidRPr="006E7BAE">
              <w:t xml:space="preserve">Coram:  </w:t>
            </w:r>
            <w:r>
              <w:t xml:space="preserve">McLachlin C.J. and </w:t>
            </w:r>
            <w:r w:rsidR="00B755FB">
              <w:t>Abella, Moldaver, Karakatsanis, Wagner,</w:t>
            </w:r>
            <w:r>
              <w:t xml:space="preserve"> Gascon</w:t>
            </w:r>
            <w:r w:rsidR="00B755FB">
              <w:t>, Brown and Rowe</w:t>
            </w:r>
            <w:r>
              <w:t> JJ.</w:t>
            </w:r>
          </w:p>
        </w:tc>
        <w:tc>
          <w:tcPr>
            <w:tcW w:w="379" w:type="pct"/>
          </w:tcPr>
          <w:p w14:paraId="6C1C716D" w14:textId="77777777" w:rsidR="00417FB7" w:rsidRPr="006E7BAE" w:rsidRDefault="00417FB7" w:rsidP="00382FEC"/>
        </w:tc>
        <w:tc>
          <w:tcPr>
            <w:tcW w:w="2284" w:type="pct"/>
          </w:tcPr>
          <w:p w14:paraId="6C1C716E" w14:textId="0C261F97" w:rsidR="00417FB7" w:rsidRPr="00B755FB" w:rsidRDefault="006C7BD0" w:rsidP="006C7BD0">
            <w:pPr>
              <w:rPr>
                <w:lang w:val="fr-CA"/>
              </w:rPr>
            </w:pPr>
            <w:r w:rsidRPr="00C06435">
              <w:rPr>
                <w:lang w:val="fr-CA"/>
              </w:rPr>
              <w:t xml:space="preserve">Coram : La juge en chef McLachlin et les juges Abella, Moldaver, Karakatsanis, </w:t>
            </w:r>
            <w:r>
              <w:rPr>
                <w:lang w:val="fr-CA"/>
              </w:rPr>
              <w:t xml:space="preserve">Wagner, </w:t>
            </w:r>
            <w:r w:rsidRPr="00C06435">
              <w:rPr>
                <w:lang w:val="fr-CA"/>
              </w:rPr>
              <w:t>Gascon</w:t>
            </w:r>
            <w:r>
              <w:rPr>
                <w:lang w:val="fr-CA"/>
              </w:rPr>
              <w:t>, Brown et Rowe</w:t>
            </w:r>
          </w:p>
        </w:tc>
      </w:tr>
      <w:tr w:rsidR="00C2612E" w:rsidRPr="001D4577" w14:paraId="6C1C7173" w14:textId="77777777" w:rsidTr="00025533">
        <w:tc>
          <w:tcPr>
            <w:tcW w:w="2337" w:type="pct"/>
            <w:tcMar>
              <w:top w:w="0" w:type="dxa"/>
              <w:bottom w:w="0" w:type="dxa"/>
            </w:tcMar>
          </w:tcPr>
          <w:p w14:paraId="6C1C7170" w14:textId="77777777" w:rsidR="00C2612E" w:rsidRPr="00B755FB" w:rsidRDefault="00C2612E" w:rsidP="008262A3">
            <w:pPr>
              <w:rPr>
                <w:lang w:val="fr-CA"/>
              </w:rPr>
            </w:pPr>
          </w:p>
        </w:tc>
        <w:tc>
          <w:tcPr>
            <w:tcW w:w="379" w:type="pct"/>
            <w:tcMar>
              <w:top w:w="0" w:type="dxa"/>
              <w:bottom w:w="0" w:type="dxa"/>
            </w:tcMar>
          </w:tcPr>
          <w:p w14:paraId="6C1C7171" w14:textId="77777777" w:rsidR="00C2612E" w:rsidRPr="00B755FB" w:rsidRDefault="00C2612E" w:rsidP="00382FEC">
            <w:pPr>
              <w:rPr>
                <w:lang w:val="fr-CA"/>
              </w:rPr>
            </w:pPr>
          </w:p>
        </w:tc>
        <w:tc>
          <w:tcPr>
            <w:tcW w:w="2284" w:type="pct"/>
            <w:tcMar>
              <w:top w:w="0" w:type="dxa"/>
              <w:bottom w:w="0" w:type="dxa"/>
            </w:tcMar>
          </w:tcPr>
          <w:p w14:paraId="6C1C7172" w14:textId="77777777" w:rsidR="00C2612E" w:rsidRPr="00B755FB" w:rsidRDefault="00C2612E" w:rsidP="00382FEC">
            <w:pPr>
              <w:rPr>
                <w:lang w:val="fr-CA"/>
              </w:rPr>
            </w:pPr>
          </w:p>
        </w:tc>
      </w:tr>
      <w:tr w:rsidR="00824412" w:rsidRPr="006E7BAE" w14:paraId="6C1C718A" w14:textId="77777777" w:rsidTr="00025533">
        <w:tc>
          <w:tcPr>
            <w:tcW w:w="2337" w:type="pct"/>
          </w:tcPr>
          <w:p w14:paraId="6C1C7174" w14:textId="77777777" w:rsidR="00870912" w:rsidRDefault="00025533">
            <w:pPr>
              <w:pStyle w:val="SCCLsocPrefix"/>
            </w:pPr>
            <w:r>
              <w:t>BETWEEN:</w:t>
            </w:r>
            <w:r>
              <w:br/>
            </w:r>
          </w:p>
          <w:p w14:paraId="6C1C7175" w14:textId="77777777" w:rsidR="00870912" w:rsidRDefault="00025533">
            <w:pPr>
              <w:pStyle w:val="SCCLsocParty"/>
            </w:pPr>
            <w:r>
              <w:t>Yana Badamshin</w:t>
            </w:r>
            <w:r>
              <w:br/>
            </w:r>
          </w:p>
          <w:p w14:paraId="6C1C7176" w14:textId="77777777" w:rsidR="00870912" w:rsidRDefault="00025533">
            <w:pPr>
              <w:pStyle w:val="SCCLsocPartyRole"/>
            </w:pPr>
            <w:r>
              <w:t>Applicant</w:t>
            </w:r>
            <w:r>
              <w:br/>
            </w:r>
          </w:p>
          <w:p w14:paraId="6C1C7177" w14:textId="77777777" w:rsidR="00870912" w:rsidRDefault="00025533">
            <w:pPr>
              <w:pStyle w:val="SCCLsocVersus"/>
            </w:pPr>
            <w:r>
              <w:t>- and -</w:t>
            </w:r>
            <w:r>
              <w:br/>
            </w:r>
          </w:p>
          <w:p w14:paraId="6C1C7178" w14:textId="77777777" w:rsidR="00025533" w:rsidRDefault="00025533">
            <w:pPr>
              <w:pStyle w:val="SCCLsocParty"/>
              <w:rPr>
                <w:lang w:val="fr-FR"/>
              </w:rPr>
            </w:pPr>
            <w:r w:rsidRPr="00F75844">
              <w:rPr>
                <w:lang w:val="fr-CA"/>
              </w:rPr>
              <w:t>Option Co</w:t>
            </w:r>
            <w:r>
              <w:rPr>
                <w:lang w:val="fr-FR"/>
              </w:rPr>
              <w:t>nsommateurs and</w:t>
            </w:r>
            <w:r w:rsidRPr="00025533">
              <w:rPr>
                <w:lang w:val="fr-FR"/>
              </w:rPr>
              <w:t xml:space="preserve"> </w:t>
            </w:r>
          </w:p>
          <w:p w14:paraId="6C1C7179" w14:textId="77777777" w:rsidR="00870912" w:rsidRPr="00025533" w:rsidRDefault="00025533">
            <w:pPr>
              <w:pStyle w:val="SCCLsocParty"/>
              <w:rPr>
                <w:lang w:val="fr-FR"/>
              </w:rPr>
            </w:pPr>
            <w:r w:rsidRPr="00025533">
              <w:rPr>
                <w:lang w:val="fr-FR"/>
              </w:rPr>
              <w:t>Louis-Alexandre Leclaire</w:t>
            </w:r>
            <w:r w:rsidRPr="00025533">
              <w:rPr>
                <w:lang w:val="fr-FR"/>
              </w:rPr>
              <w:br/>
            </w:r>
          </w:p>
          <w:p w14:paraId="6C1C717A" w14:textId="77777777" w:rsidR="00870912" w:rsidRDefault="00025533">
            <w:pPr>
              <w:pStyle w:val="SCCLsocPartyRole"/>
            </w:pPr>
            <w:r>
              <w:t>Respondents</w:t>
            </w:r>
            <w:r>
              <w:br/>
            </w:r>
          </w:p>
          <w:p w14:paraId="6C1C717B" w14:textId="77777777" w:rsidR="00870912" w:rsidRDefault="00025533">
            <w:pPr>
              <w:pStyle w:val="SCCLsocVersus"/>
            </w:pPr>
            <w:r>
              <w:t>- and -</w:t>
            </w:r>
            <w:r>
              <w:br/>
            </w:r>
          </w:p>
          <w:p w14:paraId="531CA5C4" w14:textId="77777777" w:rsidR="00F75844" w:rsidRDefault="00025533">
            <w:pPr>
              <w:pStyle w:val="SCCLsocParty"/>
            </w:pPr>
            <w:r>
              <w:t xml:space="preserve">Panasonic Corporation of North America, Panasonic Canada Inc., Panasonic Corporation, Sanyo North America Corporation, Sanyo Electric Co., Ltd., </w:t>
            </w:r>
          </w:p>
          <w:p w14:paraId="4023F9ED" w14:textId="77777777" w:rsidR="00F75844" w:rsidRDefault="00025533">
            <w:pPr>
              <w:pStyle w:val="SCCLsocParty"/>
            </w:pPr>
            <w:r>
              <w:t xml:space="preserve">Kemet Corporation, Kemet Electronics Corporation, Elna Co., Ltd., Elna America Inc., Nippon Chemi-Con Corporation, </w:t>
            </w:r>
          </w:p>
          <w:p w14:paraId="6C1C717C" w14:textId="3F37DABB" w:rsidR="00870912" w:rsidRDefault="00025533" w:rsidP="00F75844">
            <w:pPr>
              <w:pStyle w:val="SCCLsocParty"/>
              <w:ind w:left="122"/>
            </w:pPr>
            <w:r>
              <w:lastRenderedPageBreak/>
              <w:t>United Chemi-Con Corporation, Taiyo Yuden Co., Ltd., Taiyo Yuden (U.S.A.) Inc., AVX Corporation, TDK Corporation, TDK-EPC Corporation, TDK-EPC Corporation of Canada, TDK U.S.A. Corporation, Rohm Co. Ltd., Rohm Semiconductor U.S.A., LLC, Hitachi Chemical Co., Ltd., Hitachi AIC Incorporated, Hitachi Chemical Company America, Ltd., Nichicon Corporation, Nichicon (America) Corporation, NEC Tokin Corporation, NEC Tokin America Inc., Matsuo Electric Co., Ltd., Matsuo Electronics of America, Inc., Rubycon Corporation, Rubycon America Inc., Vishay Intertechnology, Inc., NEC Corporation, NEC Canada Inc., Samsung Electro-Mech</w:t>
            </w:r>
            <w:bookmarkStart w:id="0" w:name="_GoBack"/>
            <w:bookmarkEnd w:id="0"/>
            <w:r>
              <w:t>anics and Samsung Electro-Mechanics America, Inc.</w:t>
            </w:r>
            <w:r>
              <w:br/>
            </w:r>
          </w:p>
          <w:p w14:paraId="6C1C717E" w14:textId="77777777" w:rsidR="00870912" w:rsidRDefault="00025533" w:rsidP="00F75844">
            <w:pPr>
              <w:pStyle w:val="SCCLsocPartyRole"/>
            </w:pPr>
            <w:r>
              <w:t>Interveners</w:t>
            </w:r>
          </w:p>
        </w:tc>
        <w:tc>
          <w:tcPr>
            <w:tcW w:w="379" w:type="pct"/>
          </w:tcPr>
          <w:p w14:paraId="6C1C717F" w14:textId="77777777" w:rsidR="00824412" w:rsidRPr="006E7BAE" w:rsidRDefault="00824412" w:rsidP="00375294"/>
        </w:tc>
        <w:tc>
          <w:tcPr>
            <w:tcW w:w="2284" w:type="pct"/>
          </w:tcPr>
          <w:p w14:paraId="6C1C7180" w14:textId="77777777" w:rsidR="00870912" w:rsidRPr="00025533" w:rsidRDefault="00025533">
            <w:pPr>
              <w:pStyle w:val="SCCLsocPrefix"/>
              <w:rPr>
                <w:lang w:val="fr-FR"/>
              </w:rPr>
            </w:pPr>
            <w:r w:rsidRPr="00025533">
              <w:rPr>
                <w:lang w:val="fr-FR"/>
              </w:rPr>
              <w:t>ENTRE :</w:t>
            </w:r>
            <w:r w:rsidRPr="00025533">
              <w:rPr>
                <w:lang w:val="fr-FR"/>
              </w:rPr>
              <w:br/>
            </w:r>
          </w:p>
          <w:p w14:paraId="6C1C7181" w14:textId="77777777" w:rsidR="00870912" w:rsidRPr="00025533" w:rsidRDefault="00025533">
            <w:pPr>
              <w:pStyle w:val="SCCLsocParty"/>
              <w:rPr>
                <w:lang w:val="fr-FR"/>
              </w:rPr>
            </w:pPr>
            <w:r w:rsidRPr="00025533">
              <w:rPr>
                <w:lang w:val="fr-FR"/>
              </w:rPr>
              <w:t>Yana Badamshin</w:t>
            </w:r>
            <w:r w:rsidRPr="00025533">
              <w:rPr>
                <w:lang w:val="fr-FR"/>
              </w:rPr>
              <w:br/>
            </w:r>
          </w:p>
          <w:p w14:paraId="6C1C7182" w14:textId="77777777" w:rsidR="00870912" w:rsidRPr="00025533" w:rsidRDefault="00025533">
            <w:pPr>
              <w:pStyle w:val="SCCLsocPartyRole"/>
              <w:rPr>
                <w:lang w:val="fr-FR"/>
              </w:rPr>
            </w:pPr>
            <w:r>
              <w:rPr>
                <w:lang w:val="fr-FR"/>
              </w:rPr>
              <w:t>Demanderesse</w:t>
            </w:r>
            <w:r w:rsidRPr="00025533">
              <w:rPr>
                <w:lang w:val="fr-FR"/>
              </w:rPr>
              <w:br/>
            </w:r>
          </w:p>
          <w:p w14:paraId="6C1C7183" w14:textId="77777777" w:rsidR="00870912" w:rsidRPr="00025533" w:rsidRDefault="00025533">
            <w:pPr>
              <w:pStyle w:val="SCCLsocVersus"/>
              <w:rPr>
                <w:lang w:val="fr-FR"/>
              </w:rPr>
            </w:pPr>
            <w:r w:rsidRPr="00025533">
              <w:rPr>
                <w:lang w:val="fr-FR"/>
              </w:rPr>
              <w:t>- et -</w:t>
            </w:r>
            <w:r w:rsidRPr="00025533">
              <w:rPr>
                <w:lang w:val="fr-FR"/>
              </w:rPr>
              <w:br/>
            </w:r>
          </w:p>
          <w:p w14:paraId="6C1C7184" w14:textId="77777777" w:rsidR="00025533" w:rsidRDefault="00025533">
            <w:pPr>
              <w:pStyle w:val="SCCLsocParty"/>
              <w:rPr>
                <w:lang w:val="fr-FR"/>
              </w:rPr>
            </w:pPr>
            <w:r>
              <w:rPr>
                <w:lang w:val="fr-FR"/>
              </w:rPr>
              <w:t>Option Consommateurs et</w:t>
            </w:r>
            <w:r w:rsidRPr="00025533">
              <w:rPr>
                <w:lang w:val="fr-FR"/>
              </w:rPr>
              <w:t xml:space="preserve"> </w:t>
            </w:r>
          </w:p>
          <w:p w14:paraId="6C1C7185" w14:textId="77777777" w:rsidR="00870912" w:rsidRPr="00025533" w:rsidRDefault="00025533">
            <w:pPr>
              <w:pStyle w:val="SCCLsocParty"/>
              <w:rPr>
                <w:lang w:val="fr-FR"/>
              </w:rPr>
            </w:pPr>
            <w:r w:rsidRPr="00025533">
              <w:rPr>
                <w:lang w:val="fr-FR"/>
              </w:rPr>
              <w:t>Louis-Alexandre Leclaire</w:t>
            </w:r>
            <w:r w:rsidRPr="00025533">
              <w:rPr>
                <w:lang w:val="fr-FR"/>
              </w:rPr>
              <w:br/>
            </w:r>
          </w:p>
          <w:p w14:paraId="6C1C7186" w14:textId="77777777" w:rsidR="00870912" w:rsidRDefault="00025533">
            <w:pPr>
              <w:pStyle w:val="SCCLsocPartyRole"/>
            </w:pPr>
            <w:r>
              <w:t>Intimés</w:t>
            </w:r>
            <w:r>
              <w:br/>
            </w:r>
          </w:p>
          <w:p w14:paraId="6C1C7187" w14:textId="77777777" w:rsidR="00870912" w:rsidRDefault="00025533">
            <w:pPr>
              <w:pStyle w:val="SCCLsocVersus"/>
            </w:pPr>
            <w:r>
              <w:t>- et -</w:t>
            </w:r>
            <w:r>
              <w:br/>
            </w:r>
          </w:p>
          <w:p w14:paraId="6C1C7188" w14:textId="77777777" w:rsidR="00870912" w:rsidRDefault="00025533">
            <w:pPr>
              <w:pStyle w:val="SCCLsocParty"/>
            </w:pPr>
            <w:r>
              <w:t xml:space="preserve">Panasonic Corporation of North America, Panasonic Canada Inc., Panasonic Corporation, Sanyo North America Corporation, Sanyo Electric Co., Ltd., Kemet Corporation, Kemet Electronics Corporation, Elna Co., Ltd., Elna America Inc., Nippon Chemi-Con Corporation, United Chemi-Con Corporation, Taiyo </w:t>
            </w:r>
            <w:r>
              <w:lastRenderedPageBreak/>
              <w:t>Yuden Co., Ltd., Taiyo Yuden (U.S.A.) Inc., AVX Corporation, TDK Corporation, TDK-EPC Corporation, TDK-EPC Corporation of Canada, TDK U.S.A. Corporation, Rohm Co. Ltd., Rohm Semiconductor U.S.A., LLC, Hitachi Chemical Co., Ltd., Hitachi AIC Incorporated, Hitachi Chemical Company America, Ltd., Nichicon Corporation, Nichicon (America) Corporation, NEC Tokin Corporation, NEC Tokin America Inc., Matsuo Electric Co., Ltd., Matsuo Electronics of America, Inc., Rubycon Corporation, Rubycon America Inc., Vishay Intertechnology, Inc., NEC Corporation, NEC Canada Inc., Samsung Electro-Mechanics et Samsung Electro-Mechanics America, Inc.</w:t>
            </w:r>
            <w:r>
              <w:br/>
            </w:r>
          </w:p>
          <w:p w14:paraId="2EC75D84" w14:textId="77777777" w:rsidR="001D4577" w:rsidRPr="001D4577" w:rsidRDefault="001D4577" w:rsidP="001D4577"/>
          <w:p w14:paraId="6C1C7189" w14:textId="77777777" w:rsidR="00870912" w:rsidRDefault="00025533">
            <w:pPr>
              <w:pStyle w:val="SCCLsocPartyRole"/>
            </w:pPr>
            <w:r>
              <w:t>Intervenants</w:t>
            </w:r>
          </w:p>
        </w:tc>
      </w:tr>
      <w:tr w:rsidR="00824412" w:rsidRPr="006E7BAE" w14:paraId="6C1C718E" w14:textId="77777777" w:rsidTr="00025533">
        <w:tc>
          <w:tcPr>
            <w:tcW w:w="2337" w:type="pct"/>
            <w:tcMar>
              <w:top w:w="0" w:type="dxa"/>
              <w:bottom w:w="0" w:type="dxa"/>
            </w:tcMar>
          </w:tcPr>
          <w:p w14:paraId="6C1C718B" w14:textId="77777777" w:rsidR="00824412" w:rsidRPr="006E7BAE" w:rsidRDefault="00824412" w:rsidP="00375294"/>
        </w:tc>
        <w:tc>
          <w:tcPr>
            <w:tcW w:w="379" w:type="pct"/>
            <w:tcMar>
              <w:top w:w="0" w:type="dxa"/>
              <w:bottom w:w="0" w:type="dxa"/>
            </w:tcMar>
          </w:tcPr>
          <w:p w14:paraId="6C1C718C" w14:textId="77777777" w:rsidR="00824412" w:rsidRPr="006E7BAE" w:rsidRDefault="00824412" w:rsidP="00375294"/>
        </w:tc>
        <w:tc>
          <w:tcPr>
            <w:tcW w:w="2284" w:type="pct"/>
            <w:tcMar>
              <w:top w:w="0" w:type="dxa"/>
              <w:bottom w:w="0" w:type="dxa"/>
            </w:tcMar>
          </w:tcPr>
          <w:p w14:paraId="6C1C718D" w14:textId="77777777" w:rsidR="00824412" w:rsidRPr="00D83B8C" w:rsidRDefault="00824412" w:rsidP="00B408F8">
            <w:pPr>
              <w:rPr>
                <w:lang w:val="en-US"/>
              </w:rPr>
            </w:pPr>
          </w:p>
        </w:tc>
      </w:tr>
      <w:tr w:rsidR="00824412" w:rsidRPr="001D4577" w14:paraId="6C1C7196" w14:textId="77777777" w:rsidTr="00025533">
        <w:tc>
          <w:tcPr>
            <w:tcW w:w="2337" w:type="pct"/>
          </w:tcPr>
          <w:p w14:paraId="6C1C718F" w14:textId="77777777" w:rsidR="00824412" w:rsidRPr="006E7BAE" w:rsidRDefault="00824412" w:rsidP="00C2612E">
            <w:pPr>
              <w:jc w:val="center"/>
            </w:pPr>
            <w:r w:rsidRPr="006E7BAE">
              <w:t>JUDGMENT</w:t>
            </w:r>
          </w:p>
          <w:p w14:paraId="6C1C7190" w14:textId="77777777" w:rsidR="00824412" w:rsidRPr="006E7BAE" w:rsidRDefault="00824412" w:rsidP="00417FB7">
            <w:pPr>
              <w:jc w:val="center"/>
            </w:pPr>
          </w:p>
          <w:p w14:paraId="6C1C7191" w14:textId="77777777" w:rsidR="00824412" w:rsidRPr="006E7BAE" w:rsidRDefault="00824412" w:rsidP="00025533">
            <w:pPr>
              <w:jc w:val="both"/>
            </w:pPr>
            <w:r w:rsidRPr="006E7BAE">
              <w:t>The app</w:t>
            </w:r>
            <w:r w:rsidR="00011960" w:rsidRPr="006E7BAE">
              <w:t>lication for leave to appeal from the judgment of the</w:t>
            </w:r>
            <w:bookmarkStart w:id="1" w:name="BM_1_"/>
            <w:bookmarkEnd w:id="1"/>
            <w:r w:rsidRPr="006E7BAE">
              <w:t xml:space="preserve"> </w:t>
            </w:r>
            <w:r>
              <w:t>Court of Appeal of Quebec (Montréal)</w:t>
            </w:r>
            <w:r w:rsidRPr="006E7BAE">
              <w:t xml:space="preserve">, Number </w:t>
            </w:r>
            <w:r>
              <w:t>500-09-025854-167</w:t>
            </w:r>
            <w:r w:rsidRPr="006E7BAE">
              <w:t xml:space="preserve">, </w:t>
            </w:r>
            <w:r w:rsidR="00025533">
              <w:t xml:space="preserve">2017 QCCA 95, </w:t>
            </w:r>
            <w:r w:rsidRPr="006E7BAE">
              <w:t xml:space="preserve">dated </w:t>
            </w:r>
            <w:r>
              <w:t>January 27, 2017</w:t>
            </w:r>
            <w:r w:rsidR="00025533">
              <w:t>,</w:t>
            </w:r>
            <w:r w:rsidRPr="006E7BAE">
              <w:t xml:space="preserve"> is </w:t>
            </w:r>
            <w:r w:rsidR="00025533">
              <w:t>dismissed.</w:t>
            </w:r>
          </w:p>
        </w:tc>
        <w:tc>
          <w:tcPr>
            <w:tcW w:w="379" w:type="pct"/>
          </w:tcPr>
          <w:p w14:paraId="6C1C7192" w14:textId="77777777" w:rsidR="00824412" w:rsidRPr="006E7BAE" w:rsidRDefault="00824412" w:rsidP="00417FB7">
            <w:pPr>
              <w:jc w:val="center"/>
            </w:pPr>
          </w:p>
        </w:tc>
        <w:tc>
          <w:tcPr>
            <w:tcW w:w="2284" w:type="pct"/>
          </w:tcPr>
          <w:p w14:paraId="6C1C7193" w14:textId="77777777" w:rsidR="00824412" w:rsidRPr="006E7BAE" w:rsidRDefault="00824412" w:rsidP="00C2612E">
            <w:pPr>
              <w:jc w:val="center"/>
              <w:rPr>
                <w:lang w:val="fr-CA"/>
              </w:rPr>
            </w:pPr>
            <w:r w:rsidRPr="006E7BAE">
              <w:rPr>
                <w:lang w:val="fr-CA"/>
              </w:rPr>
              <w:t>JUGEMENT</w:t>
            </w:r>
          </w:p>
          <w:p w14:paraId="6C1C7194" w14:textId="77777777" w:rsidR="00824412" w:rsidRPr="006E7BAE" w:rsidRDefault="00824412" w:rsidP="00417FB7">
            <w:pPr>
              <w:jc w:val="center"/>
              <w:rPr>
                <w:lang w:val="fr-CA"/>
              </w:rPr>
            </w:pPr>
          </w:p>
          <w:p w14:paraId="6C1C7195" w14:textId="77777777" w:rsidR="00824412" w:rsidRPr="006E7BAE" w:rsidRDefault="00824412" w:rsidP="00025533">
            <w:pPr>
              <w:jc w:val="both"/>
              <w:rPr>
                <w:lang w:val="fr-CA"/>
              </w:rPr>
            </w:pPr>
            <w:r w:rsidRPr="006E7BAE">
              <w:rPr>
                <w:lang w:val="fr-CA"/>
              </w:rPr>
              <w:t>L</w:t>
            </w:r>
            <w:r w:rsidR="00011960" w:rsidRPr="006E7BAE">
              <w:rPr>
                <w:lang w:val="fr-CA"/>
              </w:rPr>
              <w:t>a demande d’autorisation d’appel de l’arrêt de la</w:t>
            </w:r>
            <w:r w:rsidRPr="006E7BAE">
              <w:rPr>
                <w:lang w:val="fr-CA"/>
              </w:rPr>
              <w:t xml:space="preserve"> </w:t>
            </w:r>
            <w:r w:rsidRPr="00025533">
              <w:rPr>
                <w:lang w:val="fr-FR"/>
              </w:rPr>
              <w:t>Cour d’appel du Québec (Montréal)</w:t>
            </w:r>
            <w:r w:rsidR="00025533">
              <w:rPr>
                <w:lang w:val="fr-CA"/>
              </w:rPr>
              <w:t xml:space="preserve">, numéro </w:t>
            </w:r>
            <w:r w:rsidRPr="00025533">
              <w:rPr>
                <w:lang w:val="fr-FR"/>
              </w:rPr>
              <w:t>500-09-025854-167</w:t>
            </w:r>
            <w:r w:rsidRPr="006E7BAE">
              <w:rPr>
                <w:lang w:val="fr-CA"/>
              </w:rPr>
              <w:t xml:space="preserve">, </w:t>
            </w:r>
            <w:r w:rsidR="00025533" w:rsidRPr="00025533">
              <w:rPr>
                <w:lang w:val="fr-FR"/>
              </w:rPr>
              <w:t>2017 QCCA 95,</w:t>
            </w:r>
            <w:r w:rsidR="00025533">
              <w:rPr>
                <w:lang w:val="fr-FR"/>
              </w:rPr>
              <w:t xml:space="preserve"> </w:t>
            </w:r>
            <w:r w:rsidR="00011960" w:rsidRPr="006E7BAE">
              <w:rPr>
                <w:lang w:val="fr-CA"/>
              </w:rPr>
              <w:t>daté du</w:t>
            </w:r>
            <w:r w:rsidRPr="006E7BAE">
              <w:rPr>
                <w:lang w:val="fr-CA"/>
              </w:rPr>
              <w:t xml:space="preserve"> </w:t>
            </w:r>
            <w:r w:rsidRPr="00025533">
              <w:rPr>
                <w:lang w:val="fr-FR"/>
              </w:rPr>
              <w:t>27 janvier 2017</w:t>
            </w:r>
            <w:r w:rsidRPr="006E7BAE">
              <w:rPr>
                <w:lang w:val="fr-CA"/>
              </w:rPr>
              <w:t xml:space="preserve">, est </w:t>
            </w:r>
            <w:r w:rsidR="00025533">
              <w:rPr>
                <w:lang w:val="fr-CA"/>
              </w:rPr>
              <w:t>rejetée.</w:t>
            </w:r>
          </w:p>
        </w:tc>
      </w:tr>
    </w:tbl>
    <w:p w14:paraId="6C1C7197" w14:textId="77777777" w:rsidR="009F436C" w:rsidRPr="00D83B8C" w:rsidRDefault="009F436C" w:rsidP="00382FEC">
      <w:pPr>
        <w:rPr>
          <w:lang w:val="fr-CA"/>
        </w:rPr>
      </w:pPr>
    </w:p>
    <w:p w14:paraId="6C1C7198" w14:textId="77777777" w:rsidR="009F436C" w:rsidRPr="00D83B8C" w:rsidRDefault="009F436C" w:rsidP="00417FB7">
      <w:pPr>
        <w:jc w:val="center"/>
        <w:rPr>
          <w:lang w:val="fr-CA"/>
        </w:rPr>
      </w:pPr>
    </w:p>
    <w:p w14:paraId="6C1C7199" w14:textId="77777777" w:rsidR="009F436C" w:rsidRPr="00D83B8C" w:rsidRDefault="009F436C" w:rsidP="00417FB7">
      <w:pPr>
        <w:jc w:val="center"/>
        <w:rPr>
          <w:lang w:val="fr-CA"/>
        </w:rPr>
      </w:pPr>
    </w:p>
    <w:p w14:paraId="6C1C719A" w14:textId="77777777" w:rsidR="009F436C" w:rsidRPr="00D83B8C" w:rsidRDefault="003A37CF" w:rsidP="00417FB7">
      <w:pPr>
        <w:jc w:val="center"/>
        <w:rPr>
          <w:lang w:val="fr-CA"/>
        </w:rPr>
      </w:pPr>
      <w:r w:rsidRPr="00D83B8C">
        <w:rPr>
          <w:lang w:val="fr-CA"/>
        </w:rPr>
        <w:t>C.J.C.</w:t>
      </w:r>
    </w:p>
    <w:p w14:paraId="6C1C719B" w14:textId="77777777" w:rsidR="009F436C" w:rsidRPr="00D83B8C" w:rsidRDefault="003A37CF" w:rsidP="00417FB7">
      <w:pPr>
        <w:jc w:val="center"/>
        <w:rPr>
          <w:lang w:val="fr-CA"/>
        </w:rPr>
      </w:pPr>
      <w:r w:rsidRPr="00D83B8C">
        <w:rPr>
          <w:lang w:val="fr-CA"/>
        </w:rPr>
        <w:t>J.C.C.</w:t>
      </w:r>
    </w:p>
    <w:p w14:paraId="6C1C719C" w14:textId="77777777" w:rsidR="009F436C" w:rsidRPr="00D83B8C" w:rsidRDefault="009F436C" w:rsidP="00417FB7">
      <w:pPr>
        <w:jc w:val="center"/>
        <w:rPr>
          <w:lang w:val="fr-CA"/>
        </w:rPr>
      </w:pPr>
    </w:p>
    <w:sectPr w:rsidR="009F436C" w:rsidRPr="00D83B8C" w:rsidSect="00054D01">
      <w:headerReference w:type="default" r:id="rId9"/>
      <w:pgSz w:w="12240" w:h="15840"/>
      <w:pgMar w:top="1440" w:right="1440" w:bottom="1440" w:left="1440" w:header="144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1C719F" w14:textId="77777777" w:rsidR="00B328CD" w:rsidRDefault="00B328CD">
      <w:r>
        <w:separator/>
      </w:r>
    </w:p>
  </w:endnote>
  <w:endnote w:type="continuationSeparator" w:id="0">
    <w:p w14:paraId="6C1C71A0" w14:textId="77777777" w:rsidR="00B328CD" w:rsidRDefault="00B32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1C719D" w14:textId="77777777" w:rsidR="00B328CD" w:rsidRDefault="00B328CD">
      <w:r>
        <w:separator/>
      </w:r>
    </w:p>
  </w:footnote>
  <w:footnote w:type="continuationSeparator" w:id="0">
    <w:p w14:paraId="6C1C719E" w14:textId="77777777" w:rsidR="00B328CD" w:rsidRDefault="00B32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C71A1" w14:textId="77777777" w:rsidR="008F53F3" w:rsidRDefault="008F53F3" w:rsidP="008F53F3">
    <w:pPr>
      <w:tabs>
        <w:tab w:val="center" w:pos="4680"/>
      </w:tabs>
      <w:jc w:val="center"/>
      <w:rPr>
        <w:szCs w:val="24"/>
      </w:rPr>
    </w:pPr>
    <w:r>
      <w:rPr>
        <w:szCs w:val="24"/>
      </w:rPr>
      <w:t xml:space="preserve">- </w:t>
    </w:r>
    <w:r w:rsidR="00EF707C" w:rsidRPr="00417FB7">
      <w:rPr>
        <w:szCs w:val="24"/>
      </w:rPr>
      <w:fldChar w:fldCharType="begin"/>
    </w:r>
    <w:r w:rsidRPr="00417FB7">
      <w:rPr>
        <w:szCs w:val="24"/>
      </w:rPr>
      <w:instrText xml:space="preserve"> PAGE   \* MERGEFORMAT </w:instrText>
    </w:r>
    <w:r w:rsidR="00EF707C" w:rsidRPr="00417FB7">
      <w:rPr>
        <w:szCs w:val="24"/>
      </w:rPr>
      <w:fldChar w:fldCharType="separate"/>
    </w:r>
    <w:r w:rsidR="00914296">
      <w:rPr>
        <w:noProof/>
        <w:szCs w:val="24"/>
      </w:rPr>
      <w:t>2</w:t>
    </w:r>
    <w:r w:rsidR="00EF707C" w:rsidRPr="00417FB7">
      <w:rPr>
        <w:szCs w:val="24"/>
      </w:rPr>
      <w:fldChar w:fldCharType="end"/>
    </w:r>
    <w:r>
      <w:rPr>
        <w:szCs w:val="24"/>
      </w:rPr>
      <w:t xml:space="preserve"> -</w:t>
    </w:r>
  </w:p>
  <w:p w14:paraId="6C1C71A2" w14:textId="77777777" w:rsidR="008F53F3" w:rsidRDefault="008F53F3" w:rsidP="008F53F3">
    <w:pPr>
      <w:rPr>
        <w:szCs w:val="24"/>
      </w:rPr>
    </w:pPr>
  </w:p>
  <w:p w14:paraId="6C1C71A3" w14:textId="77777777" w:rsidR="008F53F3" w:rsidRDefault="008F53F3" w:rsidP="008F53F3">
    <w:pPr>
      <w:rPr>
        <w:szCs w:val="24"/>
      </w:rPr>
    </w:pPr>
  </w:p>
  <w:p w14:paraId="6C1C71A4" w14:textId="77777777" w:rsidR="008F53F3" w:rsidRDefault="008F53F3" w:rsidP="008F53F3">
    <w:pPr>
      <w:tabs>
        <w:tab w:val="right" w:pos="9360"/>
      </w:tabs>
      <w:jc w:val="right"/>
      <w:rPr>
        <w:szCs w:val="24"/>
      </w:rPr>
    </w:pPr>
    <w:r>
      <w:rPr>
        <w:szCs w:val="24"/>
      </w:rPr>
      <w:t xml:space="preserve">No. </w:t>
    </w:r>
    <w:r>
      <w:t>37521</w:t>
    </w:r>
    <w:r>
      <w:rPr>
        <w:szCs w:val="24"/>
      </w:rPr>
      <w:t>     </w:t>
    </w:r>
  </w:p>
  <w:p w14:paraId="6C1C71A5" w14:textId="77777777" w:rsidR="008F53F3" w:rsidRDefault="008F53F3" w:rsidP="008F53F3">
    <w:pPr>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removePersonalInformation/>
  <w:removeDateAndTime/>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9C"/>
    <w:rsid w:val="00005730"/>
    <w:rsid w:val="00011960"/>
    <w:rsid w:val="0001615A"/>
    <w:rsid w:val="00025533"/>
    <w:rsid w:val="000306C6"/>
    <w:rsid w:val="0003142F"/>
    <w:rsid w:val="0003701B"/>
    <w:rsid w:val="0004338D"/>
    <w:rsid w:val="00054D01"/>
    <w:rsid w:val="00057FAF"/>
    <w:rsid w:val="00074657"/>
    <w:rsid w:val="00091327"/>
    <w:rsid w:val="000919B4"/>
    <w:rsid w:val="000B4AA7"/>
    <w:rsid w:val="000B76FF"/>
    <w:rsid w:val="000D7521"/>
    <w:rsid w:val="000E4CCE"/>
    <w:rsid w:val="00110EB3"/>
    <w:rsid w:val="0016666F"/>
    <w:rsid w:val="00167C15"/>
    <w:rsid w:val="001B3EC0"/>
    <w:rsid w:val="001D0116"/>
    <w:rsid w:val="001D4323"/>
    <w:rsid w:val="001D4577"/>
    <w:rsid w:val="001E1079"/>
    <w:rsid w:val="00203642"/>
    <w:rsid w:val="00212BA0"/>
    <w:rsid w:val="002523DE"/>
    <w:rsid w:val="002568D3"/>
    <w:rsid w:val="0027284C"/>
    <w:rsid w:val="002B5FA6"/>
    <w:rsid w:val="002C6423"/>
    <w:rsid w:val="002D2D44"/>
    <w:rsid w:val="0031097F"/>
    <w:rsid w:val="0031165C"/>
    <w:rsid w:val="00326E5F"/>
    <w:rsid w:val="00335879"/>
    <w:rsid w:val="00356186"/>
    <w:rsid w:val="00374E7D"/>
    <w:rsid w:val="00375294"/>
    <w:rsid w:val="00382FC7"/>
    <w:rsid w:val="00382FEC"/>
    <w:rsid w:val="00385A90"/>
    <w:rsid w:val="003A37CF"/>
    <w:rsid w:val="003B1F3D"/>
    <w:rsid w:val="00414694"/>
    <w:rsid w:val="00417FB7"/>
    <w:rsid w:val="0042783F"/>
    <w:rsid w:val="004943CF"/>
    <w:rsid w:val="004956DA"/>
    <w:rsid w:val="004D4658"/>
    <w:rsid w:val="0055345D"/>
    <w:rsid w:val="00563E2C"/>
    <w:rsid w:val="00587869"/>
    <w:rsid w:val="00612913"/>
    <w:rsid w:val="00614908"/>
    <w:rsid w:val="00650109"/>
    <w:rsid w:val="006C7BD0"/>
    <w:rsid w:val="006E7BAE"/>
    <w:rsid w:val="00701109"/>
    <w:rsid w:val="007372EA"/>
    <w:rsid w:val="00777612"/>
    <w:rsid w:val="0079129C"/>
    <w:rsid w:val="007917FE"/>
    <w:rsid w:val="007A54CC"/>
    <w:rsid w:val="007C5DE8"/>
    <w:rsid w:val="007E68C7"/>
    <w:rsid w:val="00804BE2"/>
    <w:rsid w:val="00816B78"/>
    <w:rsid w:val="00824412"/>
    <w:rsid w:val="008262A3"/>
    <w:rsid w:val="00830BBE"/>
    <w:rsid w:val="00854436"/>
    <w:rsid w:val="0086042A"/>
    <w:rsid w:val="00870912"/>
    <w:rsid w:val="008763A3"/>
    <w:rsid w:val="008813BC"/>
    <w:rsid w:val="00895263"/>
    <w:rsid w:val="008A0569"/>
    <w:rsid w:val="008A153F"/>
    <w:rsid w:val="008F53F3"/>
    <w:rsid w:val="00914296"/>
    <w:rsid w:val="009305BF"/>
    <w:rsid w:val="00951EF6"/>
    <w:rsid w:val="0096638C"/>
    <w:rsid w:val="00971A08"/>
    <w:rsid w:val="009B161D"/>
    <w:rsid w:val="009D45DF"/>
    <w:rsid w:val="009E0F71"/>
    <w:rsid w:val="009E7A46"/>
    <w:rsid w:val="009F26C4"/>
    <w:rsid w:val="009F436C"/>
    <w:rsid w:val="00A03153"/>
    <w:rsid w:val="00A103E3"/>
    <w:rsid w:val="00A252FA"/>
    <w:rsid w:val="00AB4A38"/>
    <w:rsid w:val="00AB5E22"/>
    <w:rsid w:val="00AE2077"/>
    <w:rsid w:val="00B158E3"/>
    <w:rsid w:val="00B328CD"/>
    <w:rsid w:val="00B408F8"/>
    <w:rsid w:val="00B5078E"/>
    <w:rsid w:val="00B60EDC"/>
    <w:rsid w:val="00B755FB"/>
    <w:rsid w:val="00BC39BE"/>
    <w:rsid w:val="00BD4E4C"/>
    <w:rsid w:val="00BF7644"/>
    <w:rsid w:val="00C1285B"/>
    <w:rsid w:val="00C173B0"/>
    <w:rsid w:val="00C17F71"/>
    <w:rsid w:val="00C2612E"/>
    <w:rsid w:val="00CE249F"/>
    <w:rsid w:val="00CF17D0"/>
    <w:rsid w:val="00D42339"/>
    <w:rsid w:val="00D61AC2"/>
    <w:rsid w:val="00D83B8C"/>
    <w:rsid w:val="00DA4281"/>
    <w:rsid w:val="00DB1ADC"/>
    <w:rsid w:val="00E12A51"/>
    <w:rsid w:val="00E736B9"/>
    <w:rsid w:val="00E777AD"/>
    <w:rsid w:val="00EA4B61"/>
    <w:rsid w:val="00EE2A6C"/>
    <w:rsid w:val="00EF37E2"/>
    <w:rsid w:val="00EF6754"/>
    <w:rsid w:val="00EF707C"/>
    <w:rsid w:val="00F06BF6"/>
    <w:rsid w:val="00F1759D"/>
    <w:rsid w:val="00F20569"/>
    <w:rsid w:val="00F40FBF"/>
    <w:rsid w:val="00F47372"/>
    <w:rsid w:val="00F5034C"/>
    <w:rsid w:val="00F70D4F"/>
    <w:rsid w:val="00F747B4"/>
    <w:rsid w:val="00F75844"/>
    <w:rsid w:val="00F76E97"/>
    <w:rsid w:val="00F84E07"/>
    <w:rsid w:val="00F874E6"/>
    <w:rsid w:val="00FD4F58"/>
    <w:rsid w:val="00FD6A7C"/>
    <w:rsid w:val="00FF2A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C1C7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semiHidden/>
    <w:unhideWhenUsed/>
    <w:rsid w:val="00417FB7"/>
    <w:pPr>
      <w:tabs>
        <w:tab w:val="center" w:pos="4680"/>
        <w:tab w:val="right" w:pos="9360"/>
      </w:tabs>
    </w:pPr>
  </w:style>
  <w:style w:type="character" w:customStyle="1" w:styleId="HeaderChar">
    <w:name w:val="Header Char"/>
    <w:basedOn w:val="DefaultParagraphFont"/>
    <w:link w:val="Header"/>
    <w:uiPriority w:val="99"/>
    <w:semiHidden/>
    <w:rsid w:val="00417FB7"/>
    <w:rPr>
      <w:rFonts w:ascii="Times New Roman" w:hAnsi="Times New Roman" w:cs="Times New Roman"/>
      <w:sz w:val="20"/>
      <w:szCs w:val="20"/>
    </w:rPr>
  </w:style>
  <w:style w:type="paragraph" w:styleId="Footer">
    <w:name w:val="footer"/>
    <w:basedOn w:val="Normal"/>
    <w:link w:val="FooterChar"/>
    <w:uiPriority w:val="99"/>
    <w:semiHidden/>
    <w:unhideWhenUsed/>
    <w:rsid w:val="00417FB7"/>
    <w:pPr>
      <w:tabs>
        <w:tab w:val="center" w:pos="4680"/>
        <w:tab w:val="right" w:pos="9360"/>
      </w:tabs>
    </w:pPr>
  </w:style>
  <w:style w:type="character" w:customStyle="1" w:styleId="FooterChar">
    <w:name w:val="Footer Char"/>
    <w:basedOn w:val="DefaultParagraphFont"/>
    <w:link w:val="Footer"/>
    <w:uiPriority w:val="99"/>
    <w:semiHidden/>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fb66f2d2d919b5ca09116ffca6975615">
  <xsd:schema xmlns:xsd="http://www.w3.org/2001/XMLSchema" xmlns:xs="http://www.w3.org/2001/XMLSchema" xmlns:p="http://schemas.microsoft.com/office/2006/metadata/properties" xmlns:ns2="40ae4924-d04e-473c-aafa-3657aad971d6" targetNamespace="http://schemas.microsoft.com/office/2006/metadata/properties" ma:root="true" ma:fieldsID="9620ae11144e52805f6815ca47274e05"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ts."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ts."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ts."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FolderNameEn xmlns="40ae4924-d04e-473c-aafa-3657aad971d6">Leave Application - Judgment on Leave Application</FolderNameEn>
    <Case xmlns="40ae4924-d04e-473c-aafa-3657aad971d6">11913</Case>
    <OtherLawsAndIssues xmlns="40ae4924-d04e-473c-aafa-3657aad971d6" xsi:nil="true"/>
    <DocumentType xmlns="40ae4924-d04e-473c-aafa-3657aad971d6">36</DocumentType>
    <DecisionProcessType xmlns="40ae4924-d04e-473c-aafa-3657aad971d6" xsi:nil="true"/>
    <SccRules xmlns="40ae4924-d04e-473c-aafa-3657aad971d6" xsi:nil="true"/>
    <FolderCode xmlns="40ae4924-d04e-473c-aafa-3657aad971d6">01-07</FolderCode>
    <DocumentLanguage xmlns="40ae4924-d04e-473c-aafa-3657aad971d6">
      <Value>1</Value>
      <Value>2</Value>
    </DocumentLanguage>
    <DocumentDate xmlns="40ae4924-d04e-473c-aafa-3657aad971d6">2017-07-06T04:00:00+00:00</DocumentDate>
    <SecurityClassification xmlns="40ae4924-d04e-473c-aafa-3657aad971d6">2</SecurityClassification>
    <SccAct xmlns="40ae4924-d04e-473c-aafa-3657aad971d6" xsi:nil="true"/>
    <CaseSensitivity xmlns="40ae4924-d04e-473c-aafa-3657aad971d6">
      <Value>1</Value>
    </CaseSensitivity>
    <AuthorContributor xmlns="40ae4924-d04e-473c-aafa-3657aad971d6">CJ, Wagner, Gascon</AuthorContributor>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Props1.xml><?xml version="1.0" encoding="utf-8"?>
<ds:datastoreItem xmlns:ds="http://schemas.openxmlformats.org/officeDocument/2006/customXml" ds:itemID="{0105DCA4-E42C-4939-89A0-D9F64221A1CD}">
  <ds:schemaRefs>
    <ds:schemaRef ds:uri="http://schemas.microsoft.com/sharepoint/v3/contenttype/forms"/>
  </ds:schemaRefs>
</ds:datastoreItem>
</file>

<file path=customXml/itemProps2.xml><?xml version="1.0" encoding="utf-8"?>
<ds:datastoreItem xmlns:ds="http://schemas.openxmlformats.org/officeDocument/2006/customXml" ds:itemID="{581D883F-F4B4-48EF-BBFD-56565BA41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D182E6-7470-4812-896F-36D6E90D3C04}">
  <ds:schemaRefs>
    <ds:schemaRef ds:uri="http://schemas.microsoft.com/office/2006/metadata/properties"/>
    <ds:schemaRef ds:uri="http://schemas.microsoft.com/office/infopath/2007/PartnerControls"/>
    <ds:schemaRef ds:uri="40ae4924-d04e-473c-aafa-3657aad971d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2017-07-05T11:37:00Z</dcterms:created>
  <dcterms:modified xsi:type="dcterms:W3CDTF">2017-07-05T11:37:00Z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NameEn">
    <vt:lpwstr>Leave Application - Judgment on Leave Application</vt:lpwstr>
  </property>
  <property fmtid="{D5CDD505-2E9C-101B-9397-08002B2CF9AE}" pid="5" name="FolderCode">
    <vt:lpwstr>01-07</vt:lpwstr>
  </property>
</Properties>
</file>