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9AF4" w14:textId="77777777" w:rsidR="009F436C" w:rsidRDefault="009F436C" w:rsidP="00382FEC">
      <w:bookmarkStart w:id="0" w:name="_GoBack"/>
      <w:bookmarkEnd w:id="0"/>
    </w:p>
    <w:p w14:paraId="41A79AF5" w14:textId="77777777" w:rsidR="002D2D44" w:rsidRDefault="002D2D44" w:rsidP="00382FEC"/>
    <w:p w14:paraId="41A79AF6" w14:textId="77777777" w:rsidR="00AF7A9E" w:rsidRDefault="00AF7A9E" w:rsidP="00382FEC"/>
    <w:p w14:paraId="41A79AF7" w14:textId="77777777" w:rsidR="00AF7A9E" w:rsidRDefault="00AF7A9E" w:rsidP="00382FEC"/>
    <w:p w14:paraId="41A79AFC" w14:textId="77777777" w:rsidR="00D83B8C" w:rsidRDefault="00D83B8C" w:rsidP="00382FEC"/>
    <w:p w14:paraId="41A79AFD" w14:textId="77777777" w:rsidR="008763A3" w:rsidRDefault="008763A3" w:rsidP="00382FEC"/>
    <w:p w14:paraId="41A79AFE" w14:textId="77777777" w:rsidR="00D83B8C" w:rsidRDefault="00D83B8C" w:rsidP="00382FEC"/>
    <w:p w14:paraId="41A79AFF" w14:textId="77777777" w:rsidR="00D83B8C" w:rsidRDefault="00D83B8C" w:rsidP="00382FEC"/>
    <w:p w14:paraId="41A79B00" w14:textId="77777777" w:rsidR="00D83B8C" w:rsidRDefault="00D83B8C" w:rsidP="00382FEC"/>
    <w:p w14:paraId="41A79B01" w14:textId="77777777" w:rsidR="00D83B8C" w:rsidRPr="006E7BAE" w:rsidRDefault="00D83B8C" w:rsidP="00382FEC"/>
    <w:p w14:paraId="41A79B02" w14:textId="77777777" w:rsidR="009F436C" w:rsidRPr="006E7BAE" w:rsidRDefault="009F436C" w:rsidP="00382FEC"/>
    <w:p w14:paraId="41A79B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37325</w:t>
      </w:r>
      <w:r w:rsidR="0016666F" w:rsidRPr="006E7BAE">
        <w:t>     </w:t>
      </w:r>
    </w:p>
    <w:p w14:paraId="41A79B04" w14:textId="77777777" w:rsidR="009F436C" w:rsidRPr="006E7BAE" w:rsidRDefault="009F436C" w:rsidP="00382FEC"/>
    <w:p w14:paraId="41A79B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A79B09" w14:textId="77777777" w:rsidTr="00C173B0">
        <w:tc>
          <w:tcPr>
            <w:tcW w:w="2269" w:type="pct"/>
          </w:tcPr>
          <w:p w14:paraId="41A79B06" w14:textId="77777777" w:rsidR="00417FB7" w:rsidRPr="006E7BAE" w:rsidRDefault="00B328CD" w:rsidP="005E410C">
            <w:r>
              <w:t xml:space="preserve">July </w:t>
            </w:r>
            <w:r w:rsidR="005E410C">
              <w:t>20</w:t>
            </w:r>
            <w:r>
              <w:t>, 2017</w:t>
            </w:r>
          </w:p>
        </w:tc>
        <w:tc>
          <w:tcPr>
            <w:tcW w:w="381" w:type="pct"/>
          </w:tcPr>
          <w:p w14:paraId="41A79B07" w14:textId="77777777" w:rsidR="00417FB7" w:rsidRPr="006E7BAE" w:rsidRDefault="00417FB7" w:rsidP="00382FEC"/>
        </w:tc>
        <w:tc>
          <w:tcPr>
            <w:tcW w:w="2350" w:type="pct"/>
          </w:tcPr>
          <w:p w14:paraId="41A79B08" w14:textId="77777777" w:rsidR="00417FB7" w:rsidRPr="00D83B8C" w:rsidRDefault="00B328CD" w:rsidP="005E410C">
            <w:pPr>
              <w:rPr>
                <w:lang w:val="en-US"/>
              </w:rPr>
            </w:pPr>
            <w:r>
              <w:t xml:space="preserve">Le </w:t>
            </w:r>
            <w:r w:rsidR="005E410C">
              <w:t>20</w:t>
            </w:r>
            <w:r>
              <w:t xml:space="preserve"> juillet 2017</w:t>
            </w:r>
          </w:p>
        </w:tc>
      </w:tr>
      <w:tr w:rsidR="00E12A51" w:rsidRPr="006E7BAE" w14:paraId="41A79B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A79B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A79B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A79B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3B34" w14:paraId="41A79B11" w14:textId="77777777" w:rsidTr="00C173B0">
        <w:tc>
          <w:tcPr>
            <w:tcW w:w="2269" w:type="pct"/>
          </w:tcPr>
          <w:p w14:paraId="6687856E" w14:textId="11840CC7" w:rsidR="00B13B34" w:rsidRPr="00B13B34" w:rsidRDefault="00B13B34" w:rsidP="00B13B34">
            <w:pPr>
              <w:widowControl w:val="0"/>
              <w:tabs>
                <w:tab w:val="left" w:pos="504"/>
                <w:tab w:val="left" w:pos="1224"/>
              </w:tabs>
              <w:autoSpaceDE w:val="0"/>
              <w:autoSpaceDN w:val="0"/>
              <w:adjustRightInd w:val="0"/>
              <w:rPr>
                <w:rFonts w:ascii="PMingLiU" w:eastAsia="PMingLiU" w:cs="PMingLiU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</w:t>
            </w:r>
            <w:r w:rsidR="00CC3C97">
              <w:rPr>
                <w:rFonts w:eastAsiaTheme="minorEastAsia" w:cs="Times New Roman"/>
                <w:szCs w:val="24"/>
                <w:lang w:val="fr-FR" w:eastAsia="en-CA"/>
              </w:rPr>
              <w:t>es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 juges Abella, Moldaver, Karakatsanis, Wagner, Gascon, Côté et Rowe</w:t>
            </w:r>
          </w:p>
          <w:p w14:paraId="41A79B0E" w14:textId="05B40745" w:rsidR="00417FB7" w:rsidRPr="00B13B34" w:rsidRDefault="00417FB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14:paraId="41A79B0F" w14:textId="77777777" w:rsidR="00417FB7" w:rsidRPr="00B13B34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41A79B10" w14:textId="756882DC" w:rsidR="00417FB7" w:rsidRPr="00B13B34" w:rsidRDefault="00B13B34" w:rsidP="00CC3C97">
            <w:pPr>
              <w:rPr>
                <w:lang w:val="en-US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Abella, Moldaver, Kara</w:t>
            </w:r>
            <w:r w:rsidR="00CC3C97">
              <w:rPr>
                <w:rFonts w:eastAsiaTheme="minorEastAsia" w:cs="Times New Roman"/>
                <w:szCs w:val="24"/>
                <w:lang w:eastAsia="en-CA"/>
              </w:rPr>
              <w:t xml:space="preserve">katsanis, Wagner, Gascon, Côté </w:t>
            </w:r>
            <w:r>
              <w:rPr>
                <w:rFonts w:eastAsiaTheme="minorEastAsia" w:cs="Times New Roman"/>
                <w:szCs w:val="24"/>
                <w:lang w:eastAsia="en-CA"/>
              </w:rPr>
              <w:t>and Rowe JJ.</w:t>
            </w:r>
          </w:p>
        </w:tc>
      </w:tr>
      <w:tr w:rsidR="00C2612E" w:rsidRPr="00B13B34" w14:paraId="41A79B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A79B12" w14:textId="77777777" w:rsidR="00C2612E" w:rsidRPr="00B13B3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A79B13" w14:textId="77777777" w:rsidR="00C2612E" w:rsidRPr="00B13B3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A79B14" w14:textId="77777777" w:rsidR="00C2612E" w:rsidRPr="00B13B34" w:rsidRDefault="00C2612E" w:rsidP="00382FEC">
            <w:pPr>
              <w:rPr>
                <w:lang w:val="en-US"/>
              </w:rPr>
            </w:pPr>
          </w:p>
        </w:tc>
      </w:tr>
      <w:tr w:rsidR="00824412" w:rsidRPr="006E7BAE" w14:paraId="41A79B23" w14:textId="77777777" w:rsidTr="00C173B0">
        <w:tc>
          <w:tcPr>
            <w:tcW w:w="2269" w:type="pct"/>
          </w:tcPr>
          <w:p w14:paraId="41A79B16" w14:textId="77777777" w:rsidR="00BA7CFB" w:rsidRDefault="0037649D">
            <w:pPr>
              <w:pStyle w:val="SCCLsocPrefix"/>
            </w:pPr>
            <w:r>
              <w:t>BETWEEN:</w:t>
            </w:r>
            <w:r>
              <w:br/>
            </w:r>
          </w:p>
          <w:p w14:paraId="41A79B17" w14:textId="03C75133" w:rsidR="00BA7CFB" w:rsidRDefault="0037649D">
            <w:pPr>
              <w:pStyle w:val="SCCLsocParty"/>
            </w:pPr>
            <w:r>
              <w:t xml:space="preserve">Angleland Holdings Inc., Nederland Holdings Inc., John English and Paradise Beach </w:t>
            </w:r>
            <w:r w:rsidR="008C6FF0">
              <w:t>R</w:t>
            </w:r>
            <w:r>
              <w:t>esorts Inc.</w:t>
            </w:r>
            <w:r>
              <w:br/>
            </w:r>
          </w:p>
          <w:p w14:paraId="41A79B18" w14:textId="77777777" w:rsidR="00BA7CFB" w:rsidRDefault="0037649D">
            <w:pPr>
              <w:pStyle w:val="SCCLsocPartyRole"/>
            </w:pPr>
            <w:r>
              <w:t>Applicants</w:t>
            </w:r>
            <w:r>
              <w:br/>
            </w:r>
          </w:p>
          <w:p w14:paraId="41A79B19" w14:textId="77777777" w:rsidR="00BA7CFB" w:rsidRDefault="0037649D">
            <w:pPr>
              <w:pStyle w:val="SCCLsocVersus"/>
            </w:pPr>
            <w:r>
              <w:t>- and -</w:t>
            </w:r>
            <w:r>
              <w:br/>
            </w:r>
          </w:p>
          <w:p w14:paraId="41A79B1A" w14:textId="287D50E5" w:rsidR="00BA7CFB" w:rsidRDefault="00905869">
            <w:pPr>
              <w:pStyle w:val="SCCLsocParty"/>
            </w:pPr>
            <w:r>
              <w:t>Gregory N. Harney L</w:t>
            </w:r>
            <w:r w:rsidR="0037649D">
              <w:t xml:space="preserve">aw Corporation dba, Shields Harney and Gregory N. Harney, as </w:t>
            </w:r>
            <w:r>
              <w:t>S</w:t>
            </w:r>
            <w:r w:rsidR="0037649D">
              <w:t>olicitor</w:t>
            </w:r>
            <w:r w:rsidR="0037649D">
              <w:br/>
            </w:r>
          </w:p>
          <w:p w14:paraId="55420B57" w14:textId="77777777" w:rsidR="00905869" w:rsidRDefault="00905869" w:rsidP="00905869"/>
          <w:p w14:paraId="41A79B1B" w14:textId="77777777" w:rsidR="00BA7CFB" w:rsidRDefault="0037649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A79B1C" w14:textId="77777777" w:rsidR="00824412" w:rsidRPr="006E7BAE" w:rsidRDefault="00824412" w:rsidP="00375294"/>
        </w:tc>
        <w:tc>
          <w:tcPr>
            <w:tcW w:w="2350" w:type="pct"/>
          </w:tcPr>
          <w:p w14:paraId="41A79B1D" w14:textId="77777777" w:rsidR="00BA7CFB" w:rsidRDefault="0037649D">
            <w:pPr>
              <w:pStyle w:val="SCCLsocPrefix"/>
            </w:pPr>
            <w:r>
              <w:t>ENTRE :</w:t>
            </w:r>
            <w:r>
              <w:br/>
            </w:r>
          </w:p>
          <w:p w14:paraId="41A79B1E" w14:textId="019C0242" w:rsidR="00BA7CFB" w:rsidRDefault="0037649D">
            <w:pPr>
              <w:pStyle w:val="SCCLsocParty"/>
            </w:pPr>
            <w:r>
              <w:t xml:space="preserve">Angleland Holdings Inc., Nederland Holdings Inc., John English et Paradise Beach </w:t>
            </w:r>
            <w:r w:rsidR="008C6FF0">
              <w:t>R</w:t>
            </w:r>
            <w:r>
              <w:t>esorts Inc.</w:t>
            </w:r>
            <w:r>
              <w:br/>
            </w:r>
          </w:p>
          <w:p w14:paraId="41A79B1F" w14:textId="49342283" w:rsidR="00BA7CFB" w:rsidRPr="00B628CE" w:rsidRDefault="0037649D">
            <w:pPr>
              <w:pStyle w:val="SCCLsocPartyRole"/>
              <w:rPr>
                <w:lang w:val="fr-CA"/>
              </w:rPr>
            </w:pPr>
            <w:r w:rsidRPr="00B628CE">
              <w:rPr>
                <w:lang w:val="fr-CA"/>
              </w:rPr>
              <w:t>Demande</w:t>
            </w:r>
            <w:r w:rsidR="00905869" w:rsidRPr="00B628CE">
              <w:rPr>
                <w:lang w:val="fr-CA"/>
              </w:rPr>
              <w:t>urs</w:t>
            </w:r>
            <w:r w:rsidRPr="00B628CE">
              <w:rPr>
                <w:lang w:val="fr-CA"/>
              </w:rPr>
              <w:br/>
            </w:r>
          </w:p>
          <w:p w14:paraId="41A79B20" w14:textId="77777777" w:rsidR="00BA7CFB" w:rsidRPr="00B628CE" w:rsidRDefault="0037649D">
            <w:pPr>
              <w:pStyle w:val="SCCLsocVersus"/>
              <w:rPr>
                <w:lang w:val="fr-CA"/>
              </w:rPr>
            </w:pPr>
            <w:r w:rsidRPr="00B628CE">
              <w:rPr>
                <w:lang w:val="fr-CA"/>
              </w:rPr>
              <w:t>- et -</w:t>
            </w:r>
            <w:r w:rsidRPr="00B628CE">
              <w:rPr>
                <w:lang w:val="fr-CA"/>
              </w:rPr>
              <w:br/>
            </w:r>
          </w:p>
          <w:p w14:paraId="4231CB77" w14:textId="6B48A2A0" w:rsidR="00905869" w:rsidRPr="00B628CE" w:rsidRDefault="00905869" w:rsidP="00905869">
            <w:pPr>
              <w:pStyle w:val="SCCLsocParty"/>
              <w:rPr>
                <w:lang w:val="fr-CA"/>
              </w:rPr>
            </w:pPr>
            <w:r w:rsidRPr="00B628CE">
              <w:rPr>
                <w:lang w:val="fr-CA"/>
              </w:rPr>
              <w:t>Gregory N. Harney L</w:t>
            </w:r>
            <w:r w:rsidR="0037649D" w:rsidRPr="00B628CE">
              <w:rPr>
                <w:lang w:val="fr-CA"/>
              </w:rPr>
              <w:t xml:space="preserve">aw Corporation, </w:t>
            </w:r>
            <w:r w:rsidRPr="00B628CE">
              <w:rPr>
                <w:lang w:val="fr-CA"/>
              </w:rPr>
              <w:t xml:space="preserve">faisant affaire sous le nom de </w:t>
            </w:r>
            <w:r w:rsidR="0037649D" w:rsidRPr="00B628CE">
              <w:rPr>
                <w:lang w:val="fr-CA"/>
              </w:rPr>
              <w:t xml:space="preserve">Shields Harney </w:t>
            </w:r>
            <w:r w:rsidR="00D91624" w:rsidRPr="00B628CE">
              <w:rPr>
                <w:lang w:val="fr-CA"/>
              </w:rPr>
              <w:t xml:space="preserve">et Gregory N. Harney, </w:t>
            </w:r>
            <w:r w:rsidRPr="00B628CE">
              <w:rPr>
                <w:lang w:val="fr-CA"/>
              </w:rPr>
              <w:t>à titre d’avocat</w:t>
            </w:r>
          </w:p>
          <w:p w14:paraId="41A79B21" w14:textId="15E0819A" w:rsidR="00BA7CFB" w:rsidRPr="00B628CE" w:rsidRDefault="00BA7CFB">
            <w:pPr>
              <w:pStyle w:val="SCCLsocParty"/>
              <w:rPr>
                <w:lang w:val="fr-CA"/>
              </w:rPr>
            </w:pPr>
          </w:p>
          <w:p w14:paraId="41A79B22" w14:textId="77777777" w:rsidR="00BA7CFB" w:rsidRDefault="0037649D" w:rsidP="005E410C">
            <w:pPr>
              <w:pStyle w:val="SCCLsocPartyRole"/>
            </w:pPr>
            <w:r>
              <w:t>Intimés</w:t>
            </w:r>
          </w:p>
        </w:tc>
      </w:tr>
      <w:tr w:rsidR="00824412" w:rsidRPr="006E7BAE" w14:paraId="41A79B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BAA3DC" w14:textId="77777777" w:rsidR="00824412" w:rsidRDefault="00824412" w:rsidP="00375294"/>
          <w:p w14:paraId="41A79B24" w14:textId="77777777" w:rsidR="00905869" w:rsidRPr="006E7BAE" w:rsidRDefault="00905869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A79B2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A79B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4431" w14:paraId="41A79B30" w14:textId="77777777" w:rsidTr="00C173B0">
        <w:tc>
          <w:tcPr>
            <w:tcW w:w="2269" w:type="pct"/>
          </w:tcPr>
          <w:p w14:paraId="41A79B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A79B29" w14:textId="77777777" w:rsidR="00824412" w:rsidRPr="006E7BAE" w:rsidRDefault="00824412" w:rsidP="00417FB7">
            <w:pPr>
              <w:jc w:val="center"/>
            </w:pPr>
          </w:p>
          <w:p w14:paraId="41A79B2B" w14:textId="259245B3" w:rsidR="00824412" w:rsidRPr="006E7BAE" w:rsidRDefault="00420949" w:rsidP="006A3D6B">
            <w:pPr>
              <w:jc w:val="both"/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>T</w:t>
            </w:r>
            <w:r w:rsidR="00D91624">
              <w:rPr>
                <w:rFonts w:eastAsiaTheme="minorEastAsia" w:cs="Times New Roman"/>
                <w:szCs w:val="24"/>
                <w:lang w:val="en-US" w:eastAsia="en-CA"/>
              </w:rPr>
              <w:t>he motion for an extension of time to serve and file the reply</w:t>
            </w:r>
            <w:r w:rsidR="006A3D6B">
              <w:rPr>
                <w:rFonts w:eastAsiaTheme="minorEastAsia" w:cs="Times New Roman"/>
                <w:szCs w:val="24"/>
                <w:lang w:val="en-US" w:eastAsia="en-CA"/>
              </w:rPr>
              <w:t xml:space="preserve"> is </w:t>
            </w:r>
            <w:r w:rsidR="00D91624">
              <w:rPr>
                <w:rFonts w:eastAsiaTheme="minorEastAsia" w:cs="Times New Roman"/>
                <w:szCs w:val="24"/>
                <w:lang w:val="en-US" w:eastAsia="en-CA"/>
              </w:rPr>
              <w:t xml:space="preserve">granted. </w:t>
            </w:r>
            <w:r w:rsidR="000C4431">
              <w:rPr>
                <w:rFonts w:eastAsiaTheme="minorEastAsia" w:cs="Times New Roman"/>
                <w:szCs w:val="24"/>
                <w:lang w:val="en-US" w:eastAsia="en-CA"/>
              </w:rP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 xml:space="preserve">lication for leave to </w:t>
            </w:r>
            <w:r w:rsidR="00011960" w:rsidRPr="006E7BAE">
              <w:lastRenderedPageBreak/>
              <w:t>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CA40838, 2016 BCCA 387</w:t>
            </w:r>
            <w:r w:rsidR="00824412" w:rsidRPr="006E7BAE">
              <w:t xml:space="preserve">, dated </w:t>
            </w:r>
            <w:r w:rsidR="00824412">
              <w:t>September 28, 2016</w:t>
            </w:r>
            <w:r w:rsidR="0037649D">
              <w:t>,</w:t>
            </w:r>
            <w:r w:rsidR="00824412" w:rsidRPr="006E7BAE">
              <w:t xml:space="preserve"> </w:t>
            </w:r>
            <w:r w:rsidR="00AF7A9E">
              <w:t>is dismissed with cost</w:t>
            </w:r>
            <w:r w:rsidR="00FA06F1">
              <w:t>s</w:t>
            </w:r>
            <w:r w:rsidR="00AF7A9E">
              <w:t>.</w:t>
            </w:r>
            <w:r w:rsidR="00B13B34">
              <w:t xml:space="preserve"> </w:t>
            </w:r>
            <w:r w:rsidR="00D91624">
              <w:t>I</w:t>
            </w:r>
            <w:r w:rsidR="00B13B34" w:rsidRPr="00D91624">
              <w:t>n view of the disposition on the application for leave to appeal, it is not necessary to consider the motion to extend time to serve and file a motion for lengthy memorandum and a motion for stay of proceedings dated March 27, 2017</w:t>
            </w:r>
            <w:r w:rsidR="00D91624">
              <w:t>.</w:t>
            </w:r>
            <w:r w:rsidR="004355EB">
              <w:t xml:space="preserve"> It is also not nec</w:t>
            </w:r>
            <w:r w:rsidR="00F04BFF">
              <w:t>essary to consider the motion for</w:t>
            </w:r>
            <w:r w:rsidR="004355EB">
              <w:t xml:space="preserve"> </w:t>
            </w:r>
            <w:r w:rsidR="00F04BFF">
              <w:t>an extension of</w:t>
            </w:r>
            <w:r w:rsidR="004355EB">
              <w:t xml:space="preserve"> time to serve and file the application for leave to appeal.</w:t>
            </w:r>
          </w:p>
        </w:tc>
        <w:tc>
          <w:tcPr>
            <w:tcW w:w="381" w:type="pct"/>
          </w:tcPr>
          <w:p w14:paraId="41A79B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A79B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A79B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1B36E1" w14:textId="65996C7A" w:rsidR="00B628CE" w:rsidRPr="00B628CE" w:rsidRDefault="00420949" w:rsidP="00535284">
            <w:pPr>
              <w:jc w:val="both"/>
              <w:rPr>
                <w:color w:val="1F497D"/>
                <w:sz w:val="22"/>
                <w:lang w:val="fr-CA"/>
              </w:rPr>
            </w:pPr>
            <w:r>
              <w:rPr>
                <w:lang w:val="fr-CA"/>
              </w:rPr>
              <w:t>L</w:t>
            </w:r>
            <w:r w:rsidR="00D91624" w:rsidRPr="00D91624">
              <w:rPr>
                <w:lang w:val="fr-CA"/>
              </w:rPr>
              <w:t xml:space="preserve">a requête en prorogation du délai de signification et de dépôt de la réplique </w:t>
            </w:r>
            <w:r w:rsidR="006A3D6B">
              <w:rPr>
                <w:lang w:val="fr-CA"/>
              </w:rPr>
              <w:t xml:space="preserve">est </w:t>
            </w:r>
            <w:r w:rsidR="00D91624" w:rsidRPr="00D91624">
              <w:rPr>
                <w:lang w:val="fr-CA"/>
              </w:rPr>
              <w:t xml:space="preserve"> accueillie</w:t>
            </w:r>
            <w:r w:rsidR="00D91624">
              <w:rPr>
                <w:lang w:val="fr-CA"/>
              </w:rPr>
              <w:t>.</w:t>
            </w:r>
            <w:r w:rsidR="00C74CE3">
              <w:rPr>
                <w:rFonts w:cs="Times New Roman"/>
                <w:lang w:val="fr-CA"/>
              </w:rPr>
              <w:t xml:space="preserve"> </w:t>
            </w:r>
            <w:r w:rsidR="007C667A" w:rsidRPr="007C667A">
              <w:rPr>
                <w:lang w:val="fr-CA"/>
              </w:rPr>
              <w:t xml:space="preserve">La requête sollicitant l’autorisation de présenter une nouvelle </w:t>
            </w:r>
            <w:r w:rsidR="007C667A" w:rsidRPr="007C667A">
              <w:rPr>
                <w:lang w:val="fr-CA"/>
              </w:rPr>
              <w:lastRenderedPageBreak/>
              <w:t>preuve est rejetée.</w:t>
            </w:r>
            <w:r w:rsidR="007C667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59AA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159AA">
              <w:rPr>
                <w:lang w:val="fr-FR"/>
              </w:rPr>
              <w:t>CA40838, 2016 BCCA 387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59AA">
              <w:rPr>
                <w:lang w:val="fr-FR"/>
              </w:rPr>
              <w:t>28 septembre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AF7A9E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B628CE" w:rsidRPr="00B628CE">
              <w:rPr>
                <w:lang w:val="fr-CA"/>
              </w:rPr>
              <w:t>Vu la décision sur la demande d’autorisation d’appel, il n’est pas nécessaire d’examiner la requête en proroga</w:t>
            </w:r>
            <w:r w:rsidR="00535284">
              <w:rPr>
                <w:lang w:val="fr-CA"/>
              </w:rPr>
              <w:t xml:space="preserve">tion du délai pour signifier et </w:t>
            </w:r>
            <w:r w:rsidR="00B628CE" w:rsidRPr="00B628CE">
              <w:rPr>
                <w:lang w:val="fr-CA"/>
              </w:rPr>
              <w:t>déposer une requête visant à obtenir l’autorisation de déposer un mémoire volumineux et une requête en arrêt des procédures datée du 27 mars 2017.</w:t>
            </w:r>
            <w:r w:rsidR="004355EB">
              <w:rPr>
                <w:lang w:val="fr-CA"/>
              </w:rPr>
              <w:t xml:space="preserve"> Il n’est également pas nécessaire d’examiner la requête en prorogation du délai de signification et de dépôt de la demande d’autorisation d’appel. </w:t>
            </w:r>
          </w:p>
          <w:p w14:paraId="41A79B2F" w14:textId="5A2DFE31" w:rsidR="00824412" w:rsidRPr="006E7BAE" w:rsidRDefault="00824412" w:rsidP="00C74CE3">
            <w:pPr>
              <w:jc w:val="both"/>
              <w:rPr>
                <w:lang w:val="fr-CA"/>
              </w:rPr>
            </w:pPr>
          </w:p>
        </w:tc>
      </w:tr>
    </w:tbl>
    <w:p w14:paraId="41A79B31" w14:textId="77777777" w:rsidR="009F436C" w:rsidRPr="00D83B8C" w:rsidRDefault="009F436C" w:rsidP="00382FEC">
      <w:pPr>
        <w:rPr>
          <w:lang w:val="fr-CA"/>
        </w:rPr>
      </w:pPr>
    </w:p>
    <w:p w14:paraId="41A79B32" w14:textId="77777777" w:rsidR="009F436C" w:rsidRDefault="009F436C" w:rsidP="00417FB7">
      <w:pPr>
        <w:jc w:val="center"/>
        <w:rPr>
          <w:lang w:val="fr-CA"/>
        </w:rPr>
      </w:pPr>
    </w:p>
    <w:p w14:paraId="49E37310" w14:textId="77777777" w:rsidR="007C667A" w:rsidRDefault="007C667A" w:rsidP="00417FB7">
      <w:pPr>
        <w:jc w:val="center"/>
        <w:rPr>
          <w:lang w:val="fr-CA"/>
        </w:rPr>
      </w:pPr>
    </w:p>
    <w:p w14:paraId="35C2187C" w14:textId="77777777" w:rsidR="007C667A" w:rsidRPr="00D83B8C" w:rsidRDefault="007C667A" w:rsidP="00417FB7">
      <w:pPr>
        <w:jc w:val="center"/>
        <w:rPr>
          <w:lang w:val="fr-CA"/>
        </w:rPr>
      </w:pPr>
    </w:p>
    <w:p w14:paraId="41A79B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A79B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A79B3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9B38" w14:textId="77777777" w:rsidR="00B328CD" w:rsidRDefault="00B328CD">
      <w:r>
        <w:separator/>
      </w:r>
    </w:p>
  </w:endnote>
  <w:endnote w:type="continuationSeparator" w:id="0">
    <w:p w14:paraId="41A79B3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9B36" w14:textId="77777777" w:rsidR="00B328CD" w:rsidRDefault="00B328CD">
      <w:r>
        <w:separator/>
      </w:r>
    </w:p>
  </w:footnote>
  <w:footnote w:type="continuationSeparator" w:id="0">
    <w:p w14:paraId="41A79B3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79B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6E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A79B3B" w14:textId="77777777" w:rsidR="008F53F3" w:rsidRDefault="008F53F3" w:rsidP="008F53F3">
    <w:pPr>
      <w:rPr>
        <w:szCs w:val="24"/>
      </w:rPr>
    </w:pPr>
  </w:p>
  <w:p w14:paraId="41A79B3C" w14:textId="77777777" w:rsidR="008F53F3" w:rsidRDefault="008F53F3" w:rsidP="008F53F3">
    <w:pPr>
      <w:rPr>
        <w:szCs w:val="24"/>
      </w:rPr>
    </w:pPr>
  </w:p>
  <w:p w14:paraId="41A79B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37325</w:t>
    </w:r>
    <w:r>
      <w:rPr>
        <w:szCs w:val="24"/>
      </w:rPr>
      <w:t>     </w:t>
    </w:r>
  </w:p>
  <w:p w14:paraId="41A79B3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431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9AA"/>
    <w:rsid w:val="00326E5F"/>
    <w:rsid w:val="00335879"/>
    <w:rsid w:val="00356186"/>
    <w:rsid w:val="00374E7D"/>
    <w:rsid w:val="00375294"/>
    <w:rsid w:val="0037649D"/>
    <w:rsid w:val="00382FC7"/>
    <w:rsid w:val="00382FEC"/>
    <w:rsid w:val="00385A90"/>
    <w:rsid w:val="003A37CF"/>
    <w:rsid w:val="003B1F3D"/>
    <w:rsid w:val="00414694"/>
    <w:rsid w:val="00417FB7"/>
    <w:rsid w:val="00420949"/>
    <w:rsid w:val="0042783F"/>
    <w:rsid w:val="004355EB"/>
    <w:rsid w:val="004943CF"/>
    <w:rsid w:val="004956DA"/>
    <w:rsid w:val="004D4658"/>
    <w:rsid w:val="00535284"/>
    <w:rsid w:val="0055345D"/>
    <w:rsid w:val="00555E78"/>
    <w:rsid w:val="00563E2C"/>
    <w:rsid w:val="00587869"/>
    <w:rsid w:val="005E410C"/>
    <w:rsid w:val="00612913"/>
    <w:rsid w:val="00614908"/>
    <w:rsid w:val="00650109"/>
    <w:rsid w:val="006A3D6B"/>
    <w:rsid w:val="006E7BAE"/>
    <w:rsid w:val="00701109"/>
    <w:rsid w:val="007372EA"/>
    <w:rsid w:val="00777612"/>
    <w:rsid w:val="0079129C"/>
    <w:rsid w:val="007917FE"/>
    <w:rsid w:val="007A54CC"/>
    <w:rsid w:val="007C5DE8"/>
    <w:rsid w:val="007C667A"/>
    <w:rsid w:val="007E68C7"/>
    <w:rsid w:val="00804BE2"/>
    <w:rsid w:val="00816B78"/>
    <w:rsid w:val="00816EF7"/>
    <w:rsid w:val="008179E6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FF0"/>
    <w:rsid w:val="008F53F3"/>
    <w:rsid w:val="0090586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7A9E"/>
    <w:rsid w:val="00B13B34"/>
    <w:rsid w:val="00B158E3"/>
    <w:rsid w:val="00B328CD"/>
    <w:rsid w:val="00B408F8"/>
    <w:rsid w:val="00B5078E"/>
    <w:rsid w:val="00B60EDC"/>
    <w:rsid w:val="00B628CE"/>
    <w:rsid w:val="00BA7CFB"/>
    <w:rsid w:val="00BC39BE"/>
    <w:rsid w:val="00BD4E4C"/>
    <w:rsid w:val="00BF7644"/>
    <w:rsid w:val="00C1285B"/>
    <w:rsid w:val="00C173B0"/>
    <w:rsid w:val="00C17F71"/>
    <w:rsid w:val="00C2612E"/>
    <w:rsid w:val="00C74CE3"/>
    <w:rsid w:val="00CC3C97"/>
    <w:rsid w:val="00CE249F"/>
    <w:rsid w:val="00CF17D0"/>
    <w:rsid w:val="00D42339"/>
    <w:rsid w:val="00D61AC2"/>
    <w:rsid w:val="00D83B8C"/>
    <w:rsid w:val="00D91624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BFF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6F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A79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A3DA3-5BB5-4787-9168-25A23601E2C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CE2B88-44F3-45E5-9A74-DD93F9D4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73B9-0284-4172-98CB-0AE90B4C0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2017-07-19T15:49:00Z</dcterms:created>
  <dcterms:modified xsi:type="dcterms:W3CDTF">2017-07-19T15:49:00Z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