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18265" w14:textId="77777777" w:rsidR="009F436C" w:rsidRDefault="009F436C" w:rsidP="00382FEC"/>
    <w:p w14:paraId="1DE3CE43" w14:textId="77777777" w:rsidR="00651FA0" w:rsidRDefault="00651FA0" w:rsidP="00382FEC"/>
    <w:p w14:paraId="476CA340" w14:textId="77777777" w:rsidR="00651FA0" w:rsidRDefault="00651FA0" w:rsidP="00382FEC"/>
    <w:p w14:paraId="2DBFAFF5" w14:textId="77777777" w:rsidR="00651FA0" w:rsidRDefault="00651FA0" w:rsidP="00382FEC"/>
    <w:p w14:paraId="2DCE1E73" w14:textId="77777777" w:rsidR="00651FA0" w:rsidRDefault="00651FA0" w:rsidP="00382FEC"/>
    <w:p w14:paraId="32D18266" w14:textId="77777777" w:rsidR="002D2D44" w:rsidRPr="006E7BAE" w:rsidRDefault="002D2D44" w:rsidP="00382FEC"/>
    <w:p w14:paraId="32D18267" w14:textId="77777777" w:rsidR="009F436C" w:rsidRPr="006E7BAE" w:rsidRDefault="009F436C" w:rsidP="00382FEC"/>
    <w:p w14:paraId="32D18268" w14:textId="77777777" w:rsidR="0016666F" w:rsidRPr="006E7BAE" w:rsidRDefault="0016666F" w:rsidP="00382FEC"/>
    <w:p w14:paraId="32D18269" w14:textId="77777777" w:rsidR="0016666F" w:rsidRDefault="0016666F" w:rsidP="00382FEC"/>
    <w:p w14:paraId="32D1826A" w14:textId="77777777" w:rsidR="00D83B8C" w:rsidRDefault="00D83B8C" w:rsidP="00382FEC"/>
    <w:p w14:paraId="00F32FFE" w14:textId="77777777" w:rsidR="00081CA4" w:rsidRDefault="00081CA4" w:rsidP="00382FEC"/>
    <w:p w14:paraId="32D1826B" w14:textId="77777777" w:rsidR="008763A3" w:rsidRDefault="008763A3" w:rsidP="00382FEC"/>
    <w:p w14:paraId="32D1826C" w14:textId="77777777" w:rsidR="00D83B8C" w:rsidRDefault="00D83B8C" w:rsidP="00382FEC"/>
    <w:p w14:paraId="32D1826D" w14:textId="77777777" w:rsidR="00D83B8C" w:rsidRDefault="00D83B8C" w:rsidP="00382FEC"/>
    <w:p w14:paraId="32D1826E" w14:textId="77777777" w:rsidR="00D83B8C" w:rsidRDefault="00D83B8C" w:rsidP="00382FEC"/>
    <w:p w14:paraId="32D1826F" w14:textId="77777777" w:rsidR="00D83B8C" w:rsidRPr="006E7BAE" w:rsidRDefault="00D83B8C" w:rsidP="00382FEC"/>
    <w:p w14:paraId="32D18270" w14:textId="77777777" w:rsidR="009F436C" w:rsidRPr="006E7BAE" w:rsidRDefault="009F436C" w:rsidP="00382FEC"/>
    <w:p w14:paraId="32D1827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37627</w:t>
      </w:r>
      <w:r w:rsidR="0016666F" w:rsidRPr="006E7BAE">
        <w:t>     </w:t>
      </w:r>
    </w:p>
    <w:p w14:paraId="32D18272" w14:textId="77777777" w:rsidR="009F436C" w:rsidRPr="006E7BAE" w:rsidRDefault="009F436C" w:rsidP="00382FEC"/>
    <w:p w14:paraId="32D1827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2D18277" w14:textId="77777777" w:rsidTr="00C173B0">
        <w:tc>
          <w:tcPr>
            <w:tcW w:w="2269" w:type="pct"/>
          </w:tcPr>
          <w:p w14:paraId="32D18274" w14:textId="77777777" w:rsidR="00417FB7" w:rsidRPr="006E7BAE" w:rsidRDefault="00231B34" w:rsidP="008262A3">
            <w:r>
              <w:t>November 9</w:t>
            </w:r>
            <w:r w:rsidR="00B328CD">
              <w:t>, 2017</w:t>
            </w:r>
          </w:p>
        </w:tc>
        <w:tc>
          <w:tcPr>
            <w:tcW w:w="381" w:type="pct"/>
          </w:tcPr>
          <w:p w14:paraId="32D18275" w14:textId="77777777" w:rsidR="00417FB7" w:rsidRPr="006E7BAE" w:rsidRDefault="00417FB7" w:rsidP="00382FEC"/>
        </w:tc>
        <w:tc>
          <w:tcPr>
            <w:tcW w:w="2350" w:type="pct"/>
          </w:tcPr>
          <w:p w14:paraId="32D18276" w14:textId="77777777" w:rsidR="00417FB7" w:rsidRPr="00D83B8C" w:rsidRDefault="00231B34" w:rsidP="00816B78">
            <w:pPr>
              <w:rPr>
                <w:lang w:val="en-US"/>
              </w:rPr>
            </w:pPr>
            <w:r>
              <w:t>Le 9 novembre</w:t>
            </w:r>
            <w:r w:rsidR="00B328CD">
              <w:t xml:space="preserve"> 2017</w:t>
            </w:r>
          </w:p>
        </w:tc>
      </w:tr>
      <w:tr w:rsidR="00E12A51" w:rsidRPr="006E7BAE" w14:paraId="32D1827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2D1827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D1827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D1827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81CA4" w14:paraId="32D1827F" w14:textId="77777777" w:rsidTr="00C173B0">
        <w:tc>
          <w:tcPr>
            <w:tcW w:w="2269" w:type="pct"/>
          </w:tcPr>
          <w:p w14:paraId="32D1827C" w14:textId="386684AE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32D1827D" w14:textId="77777777" w:rsidR="00417FB7" w:rsidRPr="006E7BAE" w:rsidRDefault="00417FB7" w:rsidP="00382FEC"/>
        </w:tc>
        <w:tc>
          <w:tcPr>
            <w:tcW w:w="2350" w:type="pct"/>
          </w:tcPr>
          <w:p w14:paraId="32D1827E" w14:textId="4FFCD476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31B34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081CA4" w14:paraId="32D1828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2D18280" w14:textId="77777777" w:rsidR="00C2612E" w:rsidRPr="00231B34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D18281" w14:textId="77777777" w:rsidR="00C2612E" w:rsidRPr="00231B34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D18282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32D18297" w14:textId="77777777" w:rsidTr="00C173B0">
        <w:tc>
          <w:tcPr>
            <w:tcW w:w="2269" w:type="pct"/>
          </w:tcPr>
          <w:p w14:paraId="32D18284" w14:textId="77777777" w:rsidR="009B6A79" w:rsidRDefault="00D4692C">
            <w:pPr>
              <w:pStyle w:val="SCCLsocPrefix"/>
            </w:pPr>
            <w:r>
              <w:t>BETWEEN:</w:t>
            </w:r>
            <w:r>
              <w:br/>
            </w:r>
          </w:p>
          <w:p w14:paraId="32D18285" w14:textId="77777777" w:rsidR="009B6A79" w:rsidRDefault="00231B34">
            <w:pPr>
              <w:pStyle w:val="SCCLsocParty"/>
            </w:pPr>
            <w:r>
              <w:t>Orphan Well Association and</w:t>
            </w:r>
            <w:r w:rsidR="00D4692C">
              <w:t xml:space="preserve"> Alberta Energy Regulator</w:t>
            </w:r>
            <w:r w:rsidR="00D4692C">
              <w:br/>
            </w:r>
          </w:p>
          <w:p w14:paraId="32D18286" w14:textId="77777777" w:rsidR="009B6A79" w:rsidRDefault="00D4692C">
            <w:pPr>
              <w:pStyle w:val="SCCLsocPartyRole"/>
            </w:pPr>
            <w:r>
              <w:t>Applicants</w:t>
            </w:r>
            <w:r>
              <w:br/>
            </w:r>
          </w:p>
          <w:p w14:paraId="32D18287" w14:textId="77777777" w:rsidR="009B6A79" w:rsidRDefault="00D4692C">
            <w:pPr>
              <w:pStyle w:val="SCCLsocVersus"/>
            </w:pPr>
            <w:r>
              <w:t>- and -</w:t>
            </w:r>
            <w:r>
              <w:br/>
            </w:r>
          </w:p>
          <w:p w14:paraId="32D18288" w14:textId="77777777" w:rsidR="009B6A79" w:rsidRDefault="00D4692C">
            <w:pPr>
              <w:pStyle w:val="SCCLsocParty"/>
            </w:pPr>
            <w:r>
              <w:t>Grant Thornton Limited</w:t>
            </w:r>
            <w:r w:rsidR="00231B34">
              <w:t xml:space="preserve"> and</w:t>
            </w:r>
            <w:r>
              <w:t xml:space="preserve"> Alberta Treasury Branches</w:t>
            </w:r>
            <w:r>
              <w:br/>
            </w:r>
          </w:p>
          <w:p w14:paraId="32D18289" w14:textId="77777777" w:rsidR="009B6A79" w:rsidRDefault="00D4692C">
            <w:pPr>
              <w:pStyle w:val="SCCLsocPartyRole"/>
            </w:pPr>
            <w:r>
              <w:t>Respondents</w:t>
            </w:r>
            <w:r>
              <w:br/>
            </w:r>
          </w:p>
          <w:p w14:paraId="32D1828A" w14:textId="77777777" w:rsidR="009B6A79" w:rsidRDefault="00D4692C">
            <w:pPr>
              <w:pStyle w:val="SCCLsocVersus"/>
            </w:pPr>
            <w:r>
              <w:t>- and -</w:t>
            </w:r>
            <w:r>
              <w:br/>
            </w:r>
          </w:p>
          <w:p w14:paraId="32D1828B" w14:textId="77777777" w:rsidR="009B6A79" w:rsidRDefault="00D4692C">
            <w:pPr>
              <w:pStyle w:val="SCCLsocParty"/>
            </w:pPr>
            <w:r>
              <w:t>Minister of Justice and Solicitor General of Alberta</w:t>
            </w:r>
            <w:r>
              <w:br/>
            </w:r>
          </w:p>
          <w:p w14:paraId="32D1828C" w14:textId="77777777" w:rsidR="009B6A79" w:rsidRDefault="00D4692C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32D1828D" w14:textId="77777777" w:rsidR="00824412" w:rsidRPr="006E7BAE" w:rsidRDefault="00824412" w:rsidP="00375294"/>
        </w:tc>
        <w:tc>
          <w:tcPr>
            <w:tcW w:w="2350" w:type="pct"/>
          </w:tcPr>
          <w:p w14:paraId="32D1828E" w14:textId="77777777" w:rsidR="009B6A79" w:rsidRDefault="00D4692C">
            <w:pPr>
              <w:pStyle w:val="SCCLsocPrefix"/>
            </w:pPr>
            <w:r>
              <w:t>ENTRE :</w:t>
            </w:r>
            <w:r>
              <w:br/>
            </w:r>
          </w:p>
          <w:p w14:paraId="32D1828F" w14:textId="77777777" w:rsidR="009B6A79" w:rsidRDefault="00231B34">
            <w:pPr>
              <w:pStyle w:val="SCCLsocParty"/>
            </w:pPr>
            <w:r>
              <w:t>Orphan Well Association et</w:t>
            </w:r>
            <w:r w:rsidR="00D4692C">
              <w:t xml:space="preserve"> Alberta Energy Regulator</w:t>
            </w:r>
            <w:r w:rsidR="00D4692C">
              <w:br/>
            </w:r>
          </w:p>
          <w:p w14:paraId="32D18290" w14:textId="21055B74" w:rsidR="009B6A79" w:rsidRPr="00651FA0" w:rsidRDefault="00231B34">
            <w:pPr>
              <w:pStyle w:val="SCCLsocPartyRole"/>
              <w:rPr>
                <w:lang w:val="fr-CA"/>
              </w:rPr>
            </w:pPr>
            <w:r w:rsidRPr="00651FA0">
              <w:rPr>
                <w:lang w:val="fr-CA"/>
              </w:rPr>
              <w:t>Demande</w:t>
            </w:r>
            <w:r w:rsidR="00CA19CD">
              <w:rPr>
                <w:lang w:val="fr-CA"/>
              </w:rPr>
              <w:t>u</w:t>
            </w:r>
            <w:r w:rsidRPr="00651FA0">
              <w:rPr>
                <w:lang w:val="fr-CA"/>
              </w:rPr>
              <w:t>r</w:t>
            </w:r>
            <w:r w:rsidR="00CA19CD">
              <w:rPr>
                <w:lang w:val="fr-CA"/>
              </w:rPr>
              <w:t>s</w:t>
            </w:r>
            <w:r w:rsidR="00D4692C" w:rsidRPr="00651FA0">
              <w:rPr>
                <w:lang w:val="fr-CA"/>
              </w:rPr>
              <w:br/>
            </w:r>
          </w:p>
          <w:p w14:paraId="32D18291" w14:textId="77777777" w:rsidR="009B6A79" w:rsidRPr="00651FA0" w:rsidRDefault="00D4692C">
            <w:pPr>
              <w:pStyle w:val="SCCLsocVersus"/>
              <w:rPr>
                <w:lang w:val="fr-CA"/>
              </w:rPr>
            </w:pPr>
            <w:r w:rsidRPr="00651FA0">
              <w:rPr>
                <w:lang w:val="fr-CA"/>
              </w:rPr>
              <w:t>- et -</w:t>
            </w:r>
            <w:r w:rsidRPr="00651FA0">
              <w:rPr>
                <w:lang w:val="fr-CA"/>
              </w:rPr>
              <w:br/>
            </w:r>
          </w:p>
          <w:p w14:paraId="32D18292" w14:textId="77777777" w:rsidR="009B6A79" w:rsidRPr="00651FA0" w:rsidRDefault="00231B34">
            <w:pPr>
              <w:pStyle w:val="SCCLsocParty"/>
              <w:rPr>
                <w:lang w:val="fr-CA"/>
              </w:rPr>
            </w:pPr>
            <w:r w:rsidRPr="00651FA0">
              <w:rPr>
                <w:lang w:val="fr-CA"/>
              </w:rPr>
              <w:t>Grant Thornton Limited et</w:t>
            </w:r>
            <w:r w:rsidR="00D4692C" w:rsidRPr="00651FA0">
              <w:rPr>
                <w:lang w:val="fr-CA"/>
              </w:rPr>
              <w:t xml:space="preserve"> Alberta Treasury Branches</w:t>
            </w:r>
            <w:r w:rsidR="00D4692C" w:rsidRPr="00651FA0">
              <w:rPr>
                <w:lang w:val="fr-CA"/>
              </w:rPr>
              <w:br/>
            </w:r>
          </w:p>
          <w:p w14:paraId="32D18293" w14:textId="77777777" w:rsidR="009B6A79" w:rsidRPr="00651FA0" w:rsidRDefault="00231B34">
            <w:pPr>
              <w:pStyle w:val="SCCLsocPartyRole"/>
              <w:rPr>
                <w:lang w:val="fr-CA"/>
              </w:rPr>
            </w:pPr>
            <w:r w:rsidRPr="00651FA0">
              <w:rPr>
                <w:lang w:val="fr-CA"/>
              </w:rPr>
              <w:t>Intimée</w:t>
            </w:r>
            <w:r w:rsidR="00D4692C" w:rsidRPr="00651FA0">
              <w:rPr>
                <w:lang w:val="fr-CA"/>
              </w:rPr>
              <w:t>s</w:t>
            </w:r>
            <w:r w:rsidR="00D4692C" w:rsidRPr="00651FA0">
              <w:rPr>
                <w:lang w:val="fr-CA"/>
              </w:rPr>
              <w:br/>
            </w:r>
          </w:p>
          <w:p w14:paraId="32D18294" w14:textId="77777777" w:rsidR="009B6A79" w:rsidRPr="00651FA0" w:rsidRDefault="00D4692C">
            <w:pPr>
              <w:pStyle w:val="SCCLsocVersus"/>
              <w:rPr>
                <w:lang w:val="fr-CA"/>
              </w:rPr>
            </w:pPr>
            <w:r w:rsidRPr="00651FA0">
              <w:rPr>
                <w:lang w:val="fr-CA"/>
              </w:rPr>
              <w:t>- et -</w:t>
            </w:r>
            <w:r w:rsidRPr="00651FA0">
              <w:rPr>
                <w:lang w:val="fr-CA"/>
              </w:rPr>
              <w:br/>
            </w:r>
          </w:p>
          <w:p w14:paraId="32D18295" w14:textId="659226CA" w:rsidR="009B6A79" w:rsidRPr="00081CA4" w:rsidRDefault="00F76AB4">
            <w:pPr>
              <w:pStyle w:val="SCCLsocParty"/>
              <w:rPr>
                <w:rFonts w:cs="Times New Roman"/>
                <w:lang w:val="en-US"/>
              </w:rPr>
            </w:pPr>
            <w:r w:rsidRPr="00F76AB4">
              <w:rPr>
                <w:rFonts w:cs="Times New Roman"/>
                <w:color w:val="222222"/>
                <w:lang w:val="en-US"/>
              </w:rPr>
              <w:t>Minister of Justice and Solicitor General of Alberta</w:t>
            </w:r>
            <w:r w:rsidRPr="00F76AB4" w:rsidDel="00F76AB4">
              <w:rPr>
                <w:rFonts w:cs="Times New Roman"/>
                <w:color w:val="222222"/>
                <w:lang w:val="en-US"/>
              </w:rPr>
              <w:t xml:space="preserve"> </w:t>
            </w:r>
            <w:r w:rsidR="00D4692C" w:rsidRPr="00081CA4">
              <w:rPr>
                <w:rFonts w:cs="Times New Roman"/>
                <w:lang w:val="en-US"/>
              </w:rPr>
              <w:br/>
            </w:r>
          </w:p>
          <w:p w14:paraId="32D18296" w14:textId="77777777" w:rsidR="009B6A79" w:rsidRDefault="00231B34">
            <w:pPr>
              <w:pStyle w:val="SCCLsocPartyRole"/>
            </w:pPr>
            <w:r>
              <w:t>Intervenant</w:t>
            </w:r>
          </w:p>
        </w:tc>
      </w:tr>
    </w:tbl>
    <w:p w14:paraId="32D1829C" w14:textId="7B02AB66" w:rsidR="00231B34" w:rsidRDefault="00231B34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824412" w:rsidRPr="00081CA4" w14:paraId="32D182A4" w14:textId="77777777" w:rsidTr="00C173B0">
        <w:tc>
          <w:tcPr>
            <w:tcW w:w="2269" w:type="pct"/>
          </w:tcPr>
          <w:p w14:paraId="32D1829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2D1829E" w14:textId="77777777" w:rsidR="00824412" w:rsidRPr="006E7BAE" w:rsidRDefault="00824412" w:rsidP="00417FB7">
            <w:pPr>
              <w:jc w:val="center"/>
            </w:pPr>
          </w:p>
          <w:p w14:paraId="32D1829F" w14:textId="658FFF39" w:rsidR="00824412" w:rsidRPr="006E7BAE" w:rsidRDefault="00231B34" w:rsidP="004A561B">
            <w:pPr>
              <w:jc w:val="both"/>
            </w:pPr>
            <w:r>
              <w:t xml:space="preserve">The motion to file a single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</w:t>
            </w:r>
            <w:bookmarkStart w:id="1" w:name="_GoBack"/>
            <w:bookmarkEnd w:id="1"/>
            <w:r w:rsidR="00824412">
              <w:t xml:space="preserve"> Alberta (Calgary)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>
              <w:t>1601-0129-AC and</w:t>
            </w:r>
            <w:r w:rsidR="00824412">
              <w:t xml:space="preserve"> 1601-0130-AC, 2017 ABCA 124</w:t>
            </w:r>
            <w:r w:rsidR="00824412" w:rsidRPr="006E7BAE">
              <w:t xml:space="preserve">, dated </w:t>
            </w:r>
            <w:r w:rsidR="00824412">
              <w:t>April 24, 2017</w:t>
            </w:r>
            <w:r>
              <w:t>, is granted with costs in the cause. The motion to expedite the appeal is granted</w:t>
            </w:r>
            <w:r w:rsidR="007C422B">
              <w:t>.</w:t>
            </w:r>
            <w:r>
              <w:t xml:space="preserve"> </w:t>
            </w:r>
            <w:r w:rsidR="007C422B">
              <w:t>T</w:t>
            </w:r>
            <w:r>
              <w:t xml:space="preserve">he schedule for serving and filing </w:t>
            </w:r>
            <w:r w:rsidR="007C422B">
              <w:t>materials will</w:t>
            </w:r>
            <w:r>
              <w:t xml:space="preserve"> be set by the </w:t>
            </w:r>
            <w:r w:rsidR="007C422B">
              <w:t>R</w:t>
            </w:r>
            <w:r>
              <w:t>egistrar.</w:t>
            </w:r>
            <w:r w:rsidR="007C422B">
              <w:t xml:space="preserve"> The appellants are required to serve and file a Notice of Constitutional Question in Form </w:t>
            </w:r>
            <w:r w:rsidR="00CA19CD">
              <w:t xml:space="preserve">33B </w:t>
            </w:r>
            <w:r w:rsidR="007C422B">
              <w:t xml:space="preserve">in accordance with subrules 33(2) and (3) of the </w:t>
            </w:r>
            <w:r w:rsidR="007C422B">
              <w:rPr>
                <w:i/>
                <w:iCs/>
              </w:rPr>
              <w:t>Rules of the Supreme Court of Canada</w:t>
            </w:r>
            <w:r w:rsidR="007C422B">
              <w:t>.</w:t>
            </w:r>
          </w:p>
        </w:tc>
        <w:tc>
          <w:tcPr>
            <w:tcW w:w="381" w:type="pct"/>
          </w:tcPr>
          <w:p w14:paraId="32D182A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2D182A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2D182A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2D182A3" w14:textId="630CE67D" w:rsidR="00824412" w:rsidRPr="007C422B" w:rsidRDefault="00D4692C" w:rsidP="004A561B">
            <w:pPr>
              <w:jc w:val="both"/>
              <w:rPr>
                <w:rFonts w:cs="Times New Roman"/>
                <w:lang w:val="fr-CA"/>
              </w:rPr>
            </w:pPr>
            <w:r w:rsidRPr="00D4692C">
              <w:rPr>
                <w:rFonts w:cs="Times New Roman"/>
                <w:lang w:val="fr-CA"/>
              </w:rPr>
              <w:t xml:space="preserve">La requête pour déposer une demande d’autorisation d’appel </w:t>
            </w:r>
            <w:r w:rsidR="00693AFF">
              <w:rPr>
                <w:rFonts w:cs="Times New Roman"/>
                <w:lang w:val="fr-CA"/>
              </w:rPr>
              <w:t xml:space="preserve">unique </w:t>
            </w:r>
            <w:r w:rsidRPr="00D4692C">
              <w:rPr>
                <w:rFonts w:cs="Times New Roman"/>
                <w:lang w:val="fr-CA"/>
              </w:rPr>
              <w:t xml:space="preserve">est </w:t>
            </w:r>
            <w:r w:rsidR="00693AFF">
              <w:rPr>
                <w:rFonts w:cs="Times New Roman"/>
                <w:lang w:val="fr-CA"/>
              </w:rPr>
              <w:t>accueillie</w:t>
            </w:r>
            <w:r w:rsidRPr="00D4692C">
              <w:rPr>
                <w:rFonts w:cs="Times New Roman"/>
                <w:lang w:val="fr-CA"/>
              </w:rPr>
              <w:t>. La demande d’autorisation d’appel de l’arr</w:t>
            </w:r>
            <w:r>
              <w:rPr>
                <w:rFonts w:cs="Times New Roman"/>
                <w:lang w:val="fr-CA"/>
              </w:rPr>
              <w:t>êt de la Cour</w:t>
            </w:r>
            <w:r w:rsidRPr="00D4692C">
              <w:rPr>
                <w:rFonts w:cs="Times New Roman"/>
                <w:lang w:val="fr-CA"/>
              </w:rPr>
              <w:t xml:space="preserve"> d’appel de l’Alberta (Calgary), numéro</w:t>
            </w:r>
            <w:r w:rsidR="00693AFF">
              <w:rPr>
                <w:rFonts w:cs="Times New Roman"/>
                <w:lang w:val="fr-CA"/>
              </w:rPr>
              <w:t>s</w:t>
            </w:r>
            <w:r w:rsidRPr="00D4692C">
              <w:rPr>
                <w:rFonts w:cs="Times New Roman"/>
                <w:lang w:val="fr-CA"/>
              </w:rPr>
              <w:t xml:space="preserve"> 1601-0129-AC et 1601-0130-AC, 2017 ABCA 124, daté du 24 avril 2017, est accueillie avec dépens </w:t>
            </w:r>
            <w:r w:rsidR="00693AFF">
              <w:rPr>
                <w:rFonts w:cs="Times New Roman"/>
                <w:lang w:val="fr-CA"/>
              </w:rPr>
              <w:t>selon l’issue de la cause</w:t>
            </w:r>
            <w:r w:rsidRPr="00D4692C">
              <w:rPr>
                <w:rFonts w:cs="Times New Roman"/>
                <w:lang w:val="fr-CA"/>
              </w:rPr>
              <w:t xml:space="preserve">. La requête </w:t>
            </w:r>
            <w:r w:rsidR="00693AFF">
              <w:rPr>
                <w:rFonts w:cs="Times New Roman"/>
                <w:lang w:val="fr-CA"/>
              </w:rPr>
              <w:t>visant à</w:t>
            </w:r>
            <w:r w:rsidRPr="00D4692C">
              <w:rPr>
                <w:rFonts w:cs="Times New Roman"/>
                <w:lang w:val="fr-CA"/>
              </w:rPr>
              <w:t xml:space="preserve"> accélérer</w:t>
            </w:r>
            <w:r>
              <w:rPr>
                <w:rFonts w:cs="Times New Roman"/>
                <w:lang w:val="fr-CA"/>
              </w:rPr>
              <w:t xml:space="preserve"> </w:t>
            </w:r>
            <w:r w:rsidR="00693AFF">
              <w:rPr>
                <w:rFonts w:cs="Times New Roman"/>
                <w:lang w:val="fr-CA"/>
              </w:rPr>
              <w:t>la procédure d</w:t>
            </w:r>
            <w:r>
              <w:rPr>
                <w:rFonts w:cs="Times New Roman"/>
                <w:lang w:val="fr-CA"/>
              </w:rPr>
              <w:t>’appel est</w:t>
            </w:r>
            <w:r w:rsidR="00CA19CD">
              <w:rPr>
                <w:rFonts w:cs="Times New Roman"/>
                <w:lang w:val="fr-CA"/>
              </w:rPr>
              <w:t xml:space="preserve"> accueillie</w:t>
            </w:r>
            <w:r w:rsidR="007C422B">
              <w:rPr>
                <w:rFonts w:cs="Times New Roman"/>
                <w:lang w:val="fr-CA"/>
              </w:rPr>
              <w:t>.</w:t>
            </w:r>
            <w:r>
              <w:rPr>
                <w:rFonts w:cs="Times New Roman"/>
                <w:lang w:val="fr-CA"/>
              </w:rPr>
              <w:t xml:space="preserve"> </w:t>
            </w:r>
            <w:r w:rsidR="007C422B">
              <w:rPr>
                <w:rFonts w:cs="Times New Roman"/>
                <w:lang w:val="fr-CA"/>
              </w:rPr>
              <w:t>L’échéancier</w:t>
            </w:r>
            <w:r>
              <w:rPr>
                <w:rFonts w:cs="Times New Roman"/>
                <w:lang w:val="fr-CA"/>
              </w:rPr>
              <w:t xml:space="preserve"> pour la signification et le dépôt </w:t>
            </w:r>
            <w:r w:rsidR="007C422B">
              <w:rPr>
                <w:rFonts w:cs="Times New Roman"/>
                <w:lang w:val="fr-CA"/>
              </w:rPr>
              <w:t>des documents sera</w:t>
            </w:r>
            <w:r>
              <w:rPr>
                <w:rFonts w:cs="Times New Roman"/>
                <w:lang w:val="fr-CA"/>
              </w:rPr>
              <w:t xml:space="preserve"> fixé par le </w:t>
            </w:r>
            <w:r w:rsidR="007C422B">
              <w:rPr>
                <w:rFonts w:cs="Times New Roman"/>
                <w:lang w:val="fr-CA"/>
              </w:rPr>
              <w:t>R</w:t>
            </w:r>
            <w:r>
              <w:rPr>
                <w:rFonts w:cs="Times New Roman"/>
                <w:lang w:val="fr-CA"/>
              </w:rPr>
              <w:t xml:space="preserve">egistraire. </w:t>
            </w:r>
            <w:r w:rsidR="007C422B" w:rsidRPr="007C422B">
              <w:rPr>
                <w:lang w:val="fr-CA"/>
              </w:rPr>
              <w:t xml:space="preserve">Les </w:t>
            </w:r>
            <w:r w:rsidR="007C422B" w:rsidRPr="00081CA4">
              <w:rPr>
                <w:lang w:val="fr-CA"/>
              </w:rPr>
              <w:t>appelant</w:t>
            </w:r>
            <w:r w:rsidR="007C422B">
              <w:rPr>
                <w:lang w:val="fr-CA"/>
              </w:rPr>
              <w:t>s</w:t>
            </w:r>
            <w:r w:rsidR="007C422B" w:rsidRPr="007C422B">
              <w:rPr>
                <w:lang w:val="fr-CA"/>
              </w:rPr>
              <w:t xml:space="preserve"> doivent</w:t>
            </w:r>
            <w:r w:rsidR="007C422B" w:rsidRPr="00081CA4">
              <w:rPr>
                <w:lang w:val="fr-CA"/>
              </w:rPr>
              <w:t xml:space="preserve"> signifier et déposer, conformément aux paragraphes 33(2) et (3) des </w:t>
            </w:r>
            <w:r w:rsidR="007C422B" w:rsidRPr="00081CA4">
              <w:rPr>
                <w:i/>
                <w:iCs/>
                <w:lang w:val="fr-CA"/>
              </w:rPr>
              <w:t xml:space="preserve">Règles de la Cour suprême du Canada, </w:t>
            </w:r>
            <w:r w:rsidR="007C422B" w:rsidRPr="00081CA4">
              <w:rPr>
                <w:lang w:val="fr-CA"/>
              </w:rPr>
              <w:t>un avis de question constitutionnelle semblable au formulaire</w:t>
            </w:r>
            <w:r w:rsidR="00CA19CD">
              <w:rPr>
                <w:lang w:val="fr-CA"/>
              </w:rPr>
              <w:t xml:space="preserve"> 33B</w:t>
            </w:r>
            <w:r w:rsidR="007C422B" w:rsidRPr="00081CA4">
              <w:rPr>
                <w:lang w:val="fr-CA"/>
              </w:rPr>
              <w:t>.</w:t>
            </w:r>
          </w:p>
        </w:tc>
      </w:tr>
    </w:tbl>
    <w:p w14:paraId="32D182A5" w14:textId="77777777" w:rsidR="009F436C" w:rsidRPr="00D83B8C" w:rsidRDefault="009F436C" w:rsidP="00382FEC">
      <w:pPr>
        <w:rPr>
          <w:lang w:val="fr-CA"/>
        </w:rPr>
      </w:pPr>
    </w:p>
    <w:p w14:paraId="32D182A6" w14:textId="77777777" w:rsidR="009F436C" w:rsidRPr="00D83B8C" w:rsidRDefault="009F436C" w:rsidP="00417FB7">
      <w:pPr>
        <w:jc w:val="center"/>
        <w:rPr>
          <w:lang w:val="fr-CA"/>
        </w:rPr>
      </w:pPr>
    </w:p>
    <w:p w14:paraId="32D182A7" w14:textId="77777777" w:rsidR="009F436C" w:rsidRPr="00D83B8C" w:rsidRDefault="009F436C" w:rsidP="00417FB7">
      <w:pPr>
        <w:jc w:val="center"/>
        <w:rPr>
          <w:lang w:val="fr-CA"/>
        </w:rPr>
      </w:pPr>
    </w:p>
    <w:p w14:paraId="32D182A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2D182A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2D182AA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81CA4">
      <w:headerReference w:type="default" r:id="rId9"/>
      <w:pgSz w:w="12240" w:h="15840"/>
      <w:pgMar w:top="1440" w:right="1440" w:bottom="12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182AD" w14:textId="77777777" w:rsidR="00B328CD" w:rsidRDefault="00B328CD">
      <w:r>
        <w:separator/>
      </w:r>
    </w:p>
  </w:endnote>
  <w:endnote w:type="continuationSeparator" w:id="0">
    <w:p w14:paraId="32D182AE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182AB" w14:textId="77777777" w:rsidR="00B328CD" w:rsidRDefault="00B328CD">
      <w:r>
        <w:separator/>
      </w:r>
    </w:p>
  </w:footnote>
  <w:footnote w:type="continuationSeparator" w:id="0">
    <w:p w14:paraId="32D182AC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182A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554B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2D182B0" w14:textId="77777777" w:rsidR="008F53F3" w:rsidRDefault="008F53F3" w:rsidP="008F53F3">
    <w:pPr>
      <w:rPr>
        <w:szCs w:val="24"/>
      </w:rPr>
    </w:pPr>
  </w:p>
  <w:p w14:paraId="32D182B1" w14:textId="77777777" w:rsidR="008F53F3" w:rsidRDefault="008F53F3" w:rsidP="008F53F3">
    <w:pPr>
      <w:rPr>
        <w:szCs w:val="24"/>
      </w:rPr>
    </w:pPr>
  </w:p>
  <w:p w14:paraId="32D182B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37627</w:t>
    </w:r>
    <w:r>
      <w:rPr>
        <w:szCs w:val="24"/>
      </w:rPr>
      <w:t>     </w:t>
    </w:r>
  </w:p>
  <w:p w14:paraId="32D182B3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1CA4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1B34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54B6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A561B"/>
    <w:rsid w:val="004D4658"/>
    <w:rsid w:val="0055345D"/>
    <w:rsid w:val="00563E2C"/>
    <w:rsid w:val="00587869"/>
    <w:rsid w:val="00612913"/>
    <w:rsid w:val="00614908"/>
    <w:rsid w:val="00650109"/>
    <w:rsid w:val="00651FA0"/>
    <w:rsid w:val="00693AFF"/>
    <w:rsid w:val="006E7BAE"/>
    <w:rsid w:val="00701109"/>
    <w:rsid w:val="007372EA"/>
    <w:rsid w:val="00777612"/>
    <w:rsid w:val="0079129C"/>
    <w:rsid w:val="007917FE"/>
    <w:rsid w:val="007A54CC"/>
    <w:rsid w:val="007C422B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B6A79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C70DC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19CD"/>
    <w:rsid w:val="00CE249F"/>
    <w:rsid w:val="00CF17D0"/>
    <w:rsid w:val="00D42339"/>
    <w:rsid w:val="00D4692C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327D"/>
    <w:rsid w:val="00F06BF6"/>
    <w:rsid w:val="00F1759D"/>
    <w:rsid w:val="00F20569"/>
    <w:rsid w:val="00F40FBF"/>
    <w:rsid w:val="00F47372"/>
    <w:rsid w:val="00F5034C"/>
    <w:rsid w:val="00F70D4F"/>
    <w:rsid w:val="00F747B4"/>
    <w:rsid w:val="00F76A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2D18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231B34"/>
  </w:style>
  <w:style w:type="character" w:customStyle="1" w:styleId="solext01">
    <w:name w:val="solext01"/>
    <w:basedOn w:val="DefaultParagraphFont"/>
    <w:rsid w:val="007C422B"/>
    <w:rPr>
      <w:shd w:val="clear" w:color="auto" w:fill="BFE8F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7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23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3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28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1206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65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7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075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14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2546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2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12021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D763549-9430-4307-BEC1-7C090A70F7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22201A-37AE-4CD3-A408-9FB8D2721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F259B3-3900-4661-847A-9A6A27F8AE3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2017-11-06T18:26:00Z</dcterms:created>
  <dcterms:modified xsi:type="dcterms:W3CDTF">2017-11-06T18:26:00Z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