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E79E" w14:textId="77777777" w:rsidR="009F436C" w:rsidRDefault="009F436C" w:rsidP="00382FEC"/>
    <w:p w14:paraId="3E31E79F" w14:textId="77777777" w:rsidR="00EF4EF2" w:rsidRPr="001E26DB" w:rsidRDefault="00EF4EF2" w:rsidP="00382FEC"/>
    <w:p w14:paraId="3E31E7A0" w14:textId="77777777" w:rsidR="009F436C" w:rsidRPr="001E26DB" w:rsidRDefault="009F436C" w:rsidP="00382FEC"/>
    <w:p w14:paraId="3E31E7A1" w14:textId="77777777" w:rsidR="009F436C" w:rsidRDefault="009F436C" w:rsidP="00382FEC"/>
    <w:p w14:paraId="3E31E7A2" w14:textId="77777777" w:rsidR="002C29B6" w:rsidRDefault="002C29B6" w:rsidP="00382FEC"/>
    <w:p w14:paraId="56DEBBFF" w14:textId="77777777" w:rsidR="00494A8A" w:rsidRDefault="00494A8A" w:rsidP="00382FEC"/>
    <w:p w14:paraId="39DF0A31" w14:textId="77777777" w:rsidR="00494A8A" w:rsidRDefault="00494A8A" w:rsidP="00382FEC"/>
    <w:p w14:paraId="3E31E7A3" w14:textId="77777777" w:rsidR="002C29B6" w:rsidRDefault="002C29B6" w:rsidP="00382FEC"/>
    <w:p w14:paraId="3E31E7A4" w14:textId="77777777" w:rsidR="0076003F" w:rsidRDefault="0076003F" w:rsidP="00382FEC"/>
    <w:p w14:paraId="3E31E7A5" w14:textId="77777777" w:rsidR="002C29B6" w:rsidRDefault="002C29B6" w:rsidP="00382FEC"/>
    <w:p w14:paraId="3E31E7A6" w14:textId="77777777" w:rsidR="002C29B6" w:rsidRPr="001E26DB" w:rsidRDefault="002C29B6" w:rsidP="00382FEC"/>
    <w:p w14:paraId="3E31E7A7" w14:textId="77777777" w:rsidR="009F436C" w:rsidRPr="001E26DB" w:rsidRDefault="009F436C" w:rsidP="00382FEC"/>
    <w:p w14:paraId="3E31E7A8" w14:textId="77777777" w:rsidR="009F436C" w:rsidRPr="001E26DB" w:rsidRDefault="009F436C" w:rsidP="00382FEC"/>
    <w:p w14:paraId="3E31E7A9" w14:textId="77777777" w:rsidR="009F436C" w:rsidRPr="001E26DB" w:rsidRDefault="009F436C" w:rsidP="00382FEC"/>
    <w:p w14:paraId="3E31E7A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37783</w:t>
      </w:r>
      <w:r w:rsidR="00E81C0B" w:rsidRPr="001E26DB">
        <w:t>     </w:t>
      </w:r>
    </w:p>
    <w:p w14:paraId="3E31E7AB" w14:textId="77777777" w:rsidR="009F436C" w:rsidRPr="001E26DB" w:rsidRDefault="009F436C" w:rsidP="00382FEC"/>
    <w:p w14:paraId="3E31E7A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E31E7B0" w14:textId="77777777" w:rsidTr="00B37A52">
        <w:tc>
          <w:tcPr>
            <w:tcW w:w="2269" w:type="pct"/>
          </w:tcPr>
          <w:p w14:paraId="3E31E7AD" w14:textId="77777777" w:rsidR="00417FB7" w:rsidRPr="001E26DB" w:rsidRDefault="00B8510A" w:rsidP="008262A3">
            <w:r>
              <w:t>Le 23</w:t>
            </w:r>
            <w:r w:rsidR="006475C8">
              <w:t xml:space="preserve"> novembre 2017</w:t>
            </w:r>
          </w:p>
        </w:tc>
        <w:tc>
          <w:tcPr>
            <w:tcW w:w="381" w:type="pct"/>
          </w:tcPr>
          <w:p w14:paraId="3E31E7AE" w14:textId="77777777" w:rsidR="00417FB7" w:rsidRPr="001E26DB" w:rsidRDefault="00417FB7" w:rsidP="00382FEC"/>
        </w:tc>
        <w:tc>
          <w:tcPr>
            <w:tcW w:w="2350" w:type="pct"/>
          </w:tcPr>
          <w:p w14:paraId="3E31E7AF" w14:textId="77777777" w:rsidR="00417FB7" w:rsidRPr="001E26DB" w:rsidRDefault="00B8510A" w:rsidP="0027081E">
            <w:pPr>
              <w:rPr>
                <w:lang w:val="en-CA"/>
              </w:rPr>
            </w:pPr>
            <w:r>
              <w:t>November 23</w:t>
            </w:r>
            <w:r w:rsidR="006475C8">
              <w:t>, 2017</w:t>
            </w:r>
          </w:p>
        </w:tc>
      </w:tr>
      <w:tr w:rsidR="00E12A51" w:rsidRPr="00F67F03" w14:paraId="3E31E7B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E31E7B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31E7B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31E7B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09AC" w14:paraId="3E31E7B8" w14:textId="77777777" w:rsidTr="00B37A52">
        <w:tc>
          <w:tcPr>
            <w:tcW w:w="2269" w:type="pct"/>
          </w:tcPr>
          <w:p w14:paraId="3E31E7B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3E31E7B6" w14:textId="77777777" w:rsidR="00417FB7" w:rsidRPr="001E26DB" w:rsidRDefault="00417FB7" w:rsidP="00382FEC"/>
        </w:tc>
        <w:tc>
          <w:tcPr>
            <w:tcW w:w="2350" w:type="pct"/>
          </w:tcPr>
          <w:p w14:paraId="3E31E7B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8510A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1E09AC" w14:paraId="3E31E7B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E31E7B9" w14:textId="77777777" w:rsidR="00C2612E" w:rsidRPr="00B8510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31E7BA" w14:textId="77777777" w:rsidR="00C2612E" w:rsidRPr="00B8510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31E7B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E31E7CA" w14:textId="77777777" w:rsidTr="006A1E6D">
        <w:tc>
          <w:tcPr>
            <w:tcW w:w="2269" w:type="pct"/>
          </w:tcPr>
          <w:p w14:paraId="3E31E7BD" w14:textId="77777777" w:rsidR="003B622C" w:rsidRDefault="00AD0CC6">
            <w:pPr>
              <w:pStyle w:val="SCCLsocPrefix"/>
            </w:pPr>
            <w:r>
              <w:t>ENTRE :</w:t>
            </w:r>
            <w:r>
              <w:br/>
            </w:r>
          </w:p>
          <w:p w14:paraId="3E31E7BE" w14:textId="77777777" w:rsidR="003B622C" w:rsidRDefault="00AD0CC6">
            <w:pPr>
              <w:pStyle w:val="SCCLsocParty"/>
            </w:pPr>
            <w:r>
              <w:t>Daniel Larocque</w:t>
            </w:r>
            <w:r>
              <w:br/>
            </w:r>
          </w:p>
          <w:p w14:paraId="3E31E7BF" w14:textId="77777777" w:rsidR="003B622C" w:rsidRDefault="00B8510A">
            <w:pPr>
              <w:pStyle w:val="SCCLsocPartyRole"/>
            </w:pPr>
            <w:r>
              <w:t>Demandeur</w:t>
            </w:r>
            <w:r w:rsidR="00AD0CC6">
              <w:br/>
            </w:r>
          </w:p>
          <w:p w14:paraId="3E31E7C0" w14:textId="77777777" w:rsidR="003B622C" w:rsidRDefault="00AD0CC6">
            <w:pPr>
              <w:pStyle w:val="SCCLsocVersus"/>
            </w:pPr>
            <w:r>
              <w:t>- et -</w:t>
            </w:r>
            <w:r>
              <w:br/>
            </w:r>
          </w:p>
          <w:p w14:paraId="3E31E7C1" w14:textId="62EC066C" w:rsidR="003B622C" w:rsidRDefault="00B8510A">
            <w:pPr>
              <w:pStyle w:val="SCCLsocParty"/>
            </w:pPr>
            <w:r>
              <w:t>Sa Majesté la Reine et</w:t>
            </w:r>
            <w:r w:rsidR="00AD0CC6">
              <w:t xml:space="preserve"> Procureur général de l</w:t>
            </w:r>
            <w:r w:rsidR="00CC2881">
              <w:t>’</w:t>
            </w:r>
            <w:r w:rsidR="00AD0CC6">
              <w:t>Ontario</w:t>
            </w:r>
            <w:r w:rsidR="00AD0CC6">
              <w:br/>
            </w:r>
          </w:p>
          <w:p w14:paraId="3E31E7C2" w14:textId="77777777" w:rsidR="003B622C" w:rsidRDefault="00B8510A">
            <w:pPr>
              <w:pStyle w:val="SCCLsocPartyRole"/>
            </w:pPr>
            <w:r>
              <w:t>Intimé</w:t>
            </w:r>
            <w:r w:rsidR="00AD0CC6">
              <w:t>s</w:t>
            </w:r>
          </w:p>
        </w:tc>
        <w:tc>
          <w:tcPr>
            <w:tcW w:w="381" w:type="pct"/>
          </w:tcPr>
          <w:p w14:paraId="3E31E7C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E31E7C4" w14:textId="77777777" w:rsidR="003B622C" w:rsidRPr="00B8510A" w:rsidRDefault="00AD0CC6">
            <w:pPr>
              <w:pStyle w:val="SCCLsocPrefix"/>
              <w:rPr>
                <w:lang w:val="en-CA"/>
              </w:rPr>
            </w:pPr>
            <w:r w:rsidRPr="00B8510A">
              <w:rPr>
                <w:lang w:val="en-CA"/>
              </w:rPr>
              <w:t>BETWEEN:</w:t>
            </w:r>
            <w:r w:rsidRPr="00B8510A">
              <w:rPr>
                <w:lang w:val="en-CA"/>
              </w:rPr>
              <w:br/>
            </w:r>
          </w:p>
          <w:p w14:paraId="3E31E7C5" w14:textId="77777777" w:rsidR="003B622C" w:rsidRPr="00B8510A" w:rsidRDefault="00AD0CC6">
            <w:pPr>
              <w:pStyle w:val="SCCLsocParty"/>
              <w:rPr>
                <w:lang w:val="en-CA"/>
              </w:rPr>
            </w:pPr>
            <w:r w:rsidRPr="00B8510A">
              <w:rPr>
                <w:lang w:val="en-CA"/>
              </w:rPr>
              <w:t>Daniel Larocque</w:t>
            </w:r>
            <w:r w:rsidRPr="00B8510A">
              <w:rPr>
                <w:lang w:val="en-CA"/>
              </w:rPr>
              <w:br/>
            </w:r>
          </w:p>
          <w:p w14:paraId="3E31E7C6" w14:textId="77777777" w:rsidR="003B622C" w:rsidRPr="00B8510A" w:rsidRDefault="00AD0CC6">
            <w:pPr>
              <w:pStyle w:val="SCCLsocPartyRole"/>
              <w:rPr>
                <w:lang w:val="en-CA"/>
              </w:rPr>
            </w:pPr>
            <w:r w:rsidRPr="00B8510A">
              <w:rPr>
                <w:lang w:val="en-CA"/>
              </w:rPr>
              <w:t>Applicant</w:t>
            </w:r>
            <w:r w:rsidRPr="00B8510A">
              <w:rPr>
                <w:lang w:val="en-CA"/>
              </w:rPr>
              <w:br/>
            </w:r>
          </w:p>
          <w:p w14:paraId="3E31E7C7" w14:textId="77777777" w:rsidR="003B622C" w:rsidRPr="00B8510A" w:rsidRDefault="00AD0CC6">
            <w:pPr>
              <w:pStyle w:val="SCCLsocVersus"/>
              <w:rPr>
                <w:lang w:val="en-CA"/>
              </w:rPr>
            </w:pPr>
            <w:r w:rsidRPr="00B8510A">
              <w:rPr>
                <w:lang w:val="en-CA"/>
              </w:rPr>
              <w:t>- and -</w:t>
            </w:r>
            <w:r w:rsidRPr="00B8510A">
              <w:rPr>
                <w:lang w:val="en-CA"/>
              </w:rPr>
              <w:br/>
            </w:r>
          </w:p>
          <w:p w14:paraId="3E31E7C8" w14:textId="07CBD7D2" w:rsidR="003B622C" w:rsidRPr="00B8510A" w:rsidRDefault="00B8510A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Her Majesty the Queen and</w:t>
            </w:r>
            <w:r w:rsidR="00CC2881">
              <w:rPr>
                <w:lang w:val="en-CA"/>
              </w:rPr>
              <w:t xml:space="preserve"> </w:t>
            </w:r>
            <w:r w:rsidR="00AD0CC6" w:rsidRPr="00B8510A">
              <w:rPr>
                <w:lang w:val="en-CA"/>
              </w:rPr>
              <w:t>Attorney General of Ontario</w:t>
            </w:r>
            <w:r w:rsidR="00AD0CC6" w:rsidRPr="00B8510A">
              <w:rPr>
                <w:lang w:val="en-CA"/>
              </w:rPr>
              <w:br/>
            </w:r>
          </w:p>
          <w:p w14:paraId="3E31E7C9" w14:textId="77777777" w:rsidR="003B622C" w:rsidRDefault="00AD0CC6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3E31E7C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E31E7C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31E7C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31E7C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E09AC" w14:paraId="3E31E7D6" w14:textId="77777777" w:rsidTr="00B37A52">
        <w:tc>
          <w:tcPr>
            <w:tcW w:w="2269" w:type="pct"/>
          </w:tcPr>
          <w:p w14:paraId="3E31E7C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E31E7D0" w14:textId="77777777" w:rsidR="0027081E" w:rsidRPr="001E26DB" w:rsidRDefault="0027081E" w:rsidP="0027081E">
            <w:pPr>
              <w:jc w:val="center"/>
            </w:pPr>
          </w:p>
          <w:p w14:paraId="3E31E7D1" w14:textId="6C00472C" w:rsidR="00824412" w:rsidRPr="00B8510A" w:rsidRDefault="00B8510A" w:rsidP="00AD0CC6">
            <w:pPr>
              <w:jc w:val="both"/>
              <w:rPr>
                <w:lang w:val="fr-FR"/>
              </w:rPr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 xml:space="preserve">lai de signification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C61572, 2017 ONCA 552</w:t>
            </w:r>
            <w:r w:rsidR="0027081E" w:rsidRPr="001E26DB">
              <w:t xml:space="preserve">, daté du </w:t>
            </w:r>
            <w:r w:rsidR="0027081E">
              <w:t>30 juin 2017</w:t>
            </w:r>
            <w:r w:rsidR="0027081E" w:rsidRPr="001E26DB">
              <w:t xml:space="preserve">, est </w:t>
            </w:r>
            <w:r>
              <w:t>accueillie sans</w:t>
            </w:r>
            <w:bookmarkStart w:id="0" w:name="_GoBack"/>
            <w:bookmarkEnd w:id="0"/>
            <w:r>
              <w:t xml:space="preserve"> dépens. </w:t>
            </w:r>
            <w:r w:rsidR="00CC2881">
              <w:t xml:space="preserve">Cet appel sera </w:t>
            </w:r>
            <w:r w:rsidR="00CC2881">
              <w:lastRenderedPageBreak/>
              <w:t xml:space="preserve">entendu avec les </w:t>
            </w:r>
            <w:r w:rsidR="00CC2881" w:rsidRPr="00CC2881">
              <w:t>affaire</w:t>
            </w:r>
            <w:r w:rsidR="00CC2881">
              <w:t>s</w:t>
            </w:r>
            <w:r w:rsidR="00CC2881" w:rsidRPr="00CC2881" w:rsidDel="00CC2881">
              <w:t xml:space="preserve"> </w:t>
            </w:r>
            <w:r w:rsidR="00CC2881" w:rsidRPr="001E09AC">
              <w:rPr>
                <w:i/>
              </w:rPr>
              <w:t>Alex</w:t>
            </w:r>
            <w:r w:rsidR="00CC2881" w:rsidRPr="001E09AC" w:rsidDel="00CC2881">
              <w:rPr>
                <w:i/>
              </w:rPr>
              <w:t xml:space="preserve"> </w:t>
            </w:r>
            <w:r w:rsidR="00CC2881" w:rsidRPr="001E09AC">
              <w:rPr>
                <w:i/>
              </w:rPr>
              <w:t>Boudreault c. Sa Majesté la Reine, et al.</w:t>
            </w:r>
            <w:r w:rsidR="00CC2881" w:rsidRPr="001E09AC">
              <w:t xml:space="preserve"> (37427)</w:t>
            </w:r>
            <w:r w:rsidR="00CC2881">
              <w:t xml:space="preserve">, </w:t>
            </w:r>
            <w:r w:rsidR="00CC2881" w:rsidRPr="001E09AC">
              <w:rPr>
                <w:i/>
              </w:rPr>
              <w:t>Edward Tinker</w:t>
            </w:r>
            <w:r w:rsidR="007A2187">
              <w:rPr>
                <w:i/>
              </w:rPr>
              <w:t>, et al.</w:t>
            </w:r>
            <w:r w:rsidR="00CC2881" w:rsidRPr="001E09AC">
              <w:rPr>
                <w:i/>
              </w:rPr>
              <w:t xml:space="preserve"> c. Sa Majesté la Reine</w:t>
            </w:r>
            <w:r w:rsidR="00CC2881">
              <w:t xml:space="preserve"> (37774) et </w:t>
            </w:r>
            <w:r w:rsidR="00CC2881" w:rsidRPr="001E09AC">
              <w:rPr>
                <w:i/>
              </w:rPr>
              <w:t>Garrett Eckstein c. Sa Majesté la Reine</w:t>
            </w:r>
            <w:r w:rsidR="00CC2881">
              <w:t xml:space="preserve"> (37782)</w:t>
            </w:r>
            <w:r w:rsidR="0080650C">
              <w:t>.</w:t>
            </w:r>
            <w:r w:rsidR="00CC2881" w:rsidRPr="00CC2881" w:rsidDel="00CC2881">
              <w:t xml:space="preserve"> </w:t>
            </w:r>
            <w:r w:rsidR="00D220EA" w:rsidRPr="00D220EA">
              <w:t>L’échéancier pour la signification et le dépôt des documents sera fixé par le Registraire.</w:t>
            </w:r>
            <w:r w:rsidRPr="001E09AC">
              <w:t xml:space="preserve"> </w:t>
            </w:r>
            <w:r>
              <w:rPr>
                <w:lang w:val="fr-FR"/>
              </w:rPr>
              <w:t>L’appelant d</w:t>
            </w:r>
            <w:r w:rsidR="00F263CB">
              <w:rPr>
                <w:lang w:val="fr-FR"/>
              </w:rPr>
              <w:t>oit</w:t>
            </w:r>
            <w:r>
              <w:rPr>
                <w:lang w:val="fr-FR"/>
              </w:rPr>
              <w:t xml:space="preserve"> signifier et déposer, conformément aux paragraphes 33(2) et (3) des </w:t>
            </w:r>
            <w:r w:rsidRPr="00B8510A">
              <w:rPr>
                <w:i/>
                <w:lang w:val="fr-FR"/>
              </w:rPr>
              <w:t>Règles de la Cour suprême du Can</w:t>
            </w:r>
            <w:r>
              <w:rPr>
                <w:i/>
                <w:lang w:val="fr-FR"/>
              </w:rPr>
              <w:t>a</w:t>
            </w:r>
            <w:r w:rsidRPr="00B8510A">
              <w:rPr>
                <w:i/>
                <w:lang w:val="fr-FR"/>
              </w:rPr>
              <w:t>da</w:t>
            </w:r>
            <w:r>
              <w:rPr>
                <w:lang w:val="fr-FR"/>
              </w:rPr>
              <w:t>, un avis de question constitutionnelle semblable au formulaire 33B.</w:t>
            </w:r>
          </w:p>
        </w:tc>
        <w:tc>
          <w:tcPr>
            <w:tcW w:w="381" w:type="pct"/>
          </w:tcPr>
          <w:p w14:paraId="3E31E7D2" w14:textId="77777777" w:rsidR="00824412" w:rsidRPr="00B8510A" w:rsidRDefault="00824412" w:rsidP="00417FB7">
            <w:pPr>
              <w:jc w:val="center"/>
              <w:rPr>
                <w:lang w:val="fr-FR"/>
              </w:rPr>
            </w:pPr>
          </w:p>
        </w:tc>
        <w:tc>
          <w:tcPr>
            <w:tcW w:w="2350" w:type="pct"/>
          </w:tcPr>
          <w:p w14:paraId="3E31E7D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E31E7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E31E7D5" w14:textId="235B5976" w:rsidR="00824412" w:rsidRPr="001E09AC" w:rsidRDefault="00B8510A" w:rsidP="00AD0CC6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an extension of time to serve the application for leave to appeal is </w:t>
            </w:r>
            <w:r w:rsidR="00AD0CC6">
              <w:rPr>
                <w:lang w:val="en-CA"/>
              </w:rPr>
              <w:t xml:space="preserve">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8510A">
              <w:rPr>
                <w:lang w:val="en-CA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8510A">
              <w:rPr>
                <w:lang w:val="en-CA"/>
              </w:rPr>
              <w:t>C61572, 2017 ONCA 552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8510A">
              <w:rPr>
                <w:lang w:val="en-CA"/>
              </w:rPr>
              <w:t>June 30, 2017</w:t>
            </w:r>
            <w:r w:rsidR="0027081E" w:rsidRPr="001E26DB">
              <w:rPr>
                <w:lang w:val="en-CA"/>
              </w:rPr>
              <w:t xml:space="preserve"> is </w:t>
            </w:r>
            <w:r w:rsidR="00AD0CC6">
              <w:rPr>
                <w:lang w:val="en-CA"/>
              </w:rPr>
              <w:t>granted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F263CB" w:rsidRPr="00F263CB">
              <w:rPr>
                <w:lang w:val="en-CA"/>
              </w:rPr>
              <w:t xml:space="preserve">The appeal will be heard with </w:t>
            </w:r>
            <w:r w:rsidR="00F263CB" w:rsidRPr="001E09AC">
              <w:rPr>
                <w:i/>
                <w:lang w:val="en-US"/>
              </w:rPr>
              <w:t>Alex</w:t>
            </w:r>
            <w:r w:rsidR="00F263CB" w:rsidRPr="001E09AC" w:rsidDel="00CC2881">
              <w:rPr>
                <w:i/>
                <w:lang w:val="en-US"/>
              </w:rPr>
              <w:t xml:space="preserve"> </w:t>
            </w:r>
            <w:r w:rsidR="00F263CB" w:rsidRPr="001E09AC">
              <w:rPr>
                <w:i/>
                <w:lang w:val="en-US"/>
              </w:rPr>
              <w:t>Boudreault</w:t>
            </w:r>
            <w:r w:rsidR="00F263CB" w:rsidRPr="00F263CB">
              <w:rPr>
                <w:i/>
                <w:lang w:val="en-US"/>
              </w:rPr>
              <w:t xml:space="preserve"> v</w:t>
            </w:r>
            <w:r w:rsidR="00F263CB" w:rsidRPr="001E09AC">
              <w:rPr>
                <w:i/>
                <w:lang w:val="en-US"/>
              </w:rPr>
              <w:t xml:space="preserve">. </w:t>
            </w:r>
            <w:r w:rsidR="00F263CB" w:rsidRPr="00F263CB">
              <w:rPr>
                <w:i/>
                <w:lang w:val="en-US"/>
              </w:rPr>
              <w:lastRenderedPageBreak/>
              <w:t>H</w:t>
            </w:r>
            <w:r w:rsidR="00F263CB">
              <w:rPr>
                <w:i/>
                <w:lang w:val="en-US"/>
              </w:rPr>
              <w:t>er Majesty the Queen</w:t>
            </w:r>
            <w:r w:rsidR="00F263CB" w:rsidRPr="001E09AC">
              <w:rPr>
                <w:i/>
                <w:lang w:val="en-US"/>
              </w:rPr>
              <w:t>, et al.</w:t>
            </w:r>
            <w:r w:rsidR="00F263CB" w:rsidRPr="001E09AC">
              <w:rPr>
                <w:lang w:val="en-US"/>
              </w:rPr>
              <w:t xml:space="preserve"> (37427), </w:t>
            </w:r>
            <w:r w:rsidR="00F263CB" w:rsidRPr="001E09AC">
              <w:rPr>
                <w:i/>
                <w:lang w:val="en-US"/>
              </w:rPr>
              <w:t>Edward Tinker</w:t>
            </w:r>
            <w:r w:rsidR="007A2187">
              <w:rPr>
                <w:i/>
                <w:lang w:val="en-US"/>
              </w:rPr>
              <w:t>, et al.</w:t>
            </w:r>
            <w:r w:rsidR="00F263CB" w:rsidRPr="001E09AC">
              <w:rPr>
                <w:i/>
                <w:lang w:val="en-US"/>
              </w:rPr>
              <w:t xml:space="preserve"> v. Her Majesty the Queen</w:t>
            </w:r>
            <w:r w:rsidR="00F263CB" w:rsidRPr="001E09AC">
              <w:rPr>
                <w:lang w:val="en-US"/>
              </w:rPr>
              <w:t xml:space="preserve"> (37774) and </w:t>
            </w:r>
            <w:r w:rsidR="00F263CB" w:rsidRPr="001E09AC">
              <w:rPr>
                <w:i/>
                <w:lang w:val="en-US"/>
              </w:rPr>
              <w:t xml:space="preserve">Garrett Eckstein v. </w:t>
            </w:r>
            <w:r w:rsidR="00F263CB" w:rsidRPr="00F263CB">
              <w:rPr>
                <w:i/>
                <w:lang w:val="en-US"/>
              </w:rPr>
              <w:t>H</w:t>
            </w:r>
            <w:r w:rsidR="00F263CB">
              <w:rPr>
                <w:i/>
                <w:lang w:val="en-US"/>
              </w:rPr>
              <w:t>er Majesty the Queen</w:t>
            </w:r>
            <w:r w:rsidR="00F263CB" w:rsidRPr="001E09AC">
              <w:rPr>
                <w:lang w:val="en-US"/>
              </w:rPr>
              <w:t xml:space="preserve"> (37782)</w:t>
            </w:r>
            <w:r w:rsidR="00F263CB">
              <w:rPr>
                <w:lang w:val="en-US"/>
              </w:rPr>
              <w:t>.</w:t>
            </w:r>
            <w:r w:rsidR="00D220EA">
              <w:rPr>
                <w:lang w:val="en-US"/>
              </w:rPr>
              <w:t xml:space="preserve"> </w:t>
            </w:r>
            <w:r w:rsidR="00D220EA" w:rsidRPr="00D220EA">
              <w:rPr>
                <w:lang w:val="en-US"/>
              </w:rPr>
              <w:t>The schedule for serving and filing materials will be set by the Registrar.</w:t>
            </w:r>
            <w:r w:rsidR="00F263CB">
              <w:rPr>
                <w:lang w:val="en-US"/>
              </w:rPr>
              <w:t xml:space="preserve"> The appellant is</w:t>
            </w:r>
            <w:r w:rsidR="00F263CB" w:rsidRPr="00F263CB">
              <w:rPr>
                <w:lang w:val="en-US"/>
              </w:rPr>
              <w:t xml:space="preserve"> required to serve and file a Notice of Constitutional Question in Form 33B in accordance with subrules 33(2) and (3) of the </w:t>
            </w:r>
            <w:r w:rsidR="00F263CB" w:rsidRPr="001E09AC">
              <w:rPr>
                <w:i/>
                <w:lang w:val="en-US"/>
              </w:rPr>
              <w:t>Rules of the Supreme Court of Canada</w:t>
            </w:r>
            <w:r w:rsidR="00F263CB" w:rsidRPr="00F263CB">
              <w:rPr>
                <w:lang w:val="en-US"/>
              </w:rPr>
              <w:t>.</w:t>
            </w:r>
          </w:p>
        </w:tc>
      </w:tr>
    </w:tbl>
    <w:p w14:paraId="3E31E7D7" w14:textId="77777777" w:rsidR="009F436C" w:rsidRPr="00F263CB" w:rsidRDefault="009F436C" w:rsidP="00382FEC">
      <w:pPr>
        <w:rPr>
          <w:lang w:val="en-US"/>
        </w:rPr>
      </w:pPr>
    </w:p>
    <w:p w14:paraId="3E31E7D8" w14:textId="77777777" w:rsidR="009F436C" w:rsidRPr="00F263CB" w:rsidRDefault="009F436C" w:rsidP="00417FB7">
      <w:pPr>
        <w:jc w:val="center"/>
        <w:rPr>
          <w:lang w:val="en-US"/>
        </w:rPr>
      </w:pPr>
    </w:p>
    <w:p w14:paraId="3E31E7D9" w14:textId="77777777" w:rsidR="009F436C" w:rsidRPr="00F263CB" w:rsidRDefault="009F436C" w:rsidP="00417FB7">
      <w:pPr>
        <w:jc w:val="center"/>
        <w:rPr>
          <w:lang w:val="en-US"/>
        </w:rPr>
      </w:pPr>
    </w:p>
    <w:p w14:paraId="3E31E7DA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3E31E7DB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3E31E7DC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1E7DF" w14:textId="77777777" w:rsidR="006475C8" w:rsidRDefault="006475C8">
      <w:r>
        <w:separator/>
      </w:r>
    </w:p>
  </w:endnote>
  <w:endnote w:type="continuationSeparator" w:id="0">
    <w:p w14:paraId="3E31E7E0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E7DD" w14:textId="77777777" w:rsidR="006475C8" w:rsidRDefault="006475C8">
      <w:r>
        <w:separator/>
      </w:r>
    </w:p>
  </w:footnote>
  <w:footnote w:type="continuationSeparator" w:id="0">
    <w:p w14:paraId="3E31E7DE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E7E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57B0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31E7E2" w14:textId="77777777" w:rsidR="00401B64" w:rsidRDefault="00401B64" w:rsidP="00401B64">
    <w:pPr>
      <w:rPr>
        <w:szCs w:val="24"/>
      </w:rPr>
    </w:pPr>
  </w:p>
  <w:p w14:paraId="3E31E7E3" w14:textId="77777777" w:rsidR="00401B64" w:rsidRDefault="00401B64" w:rsidP="00401B64">
    <w:pPr>
      <w:rPr>
        <w:szCs w:val="24"/>
      </w:rPr>
    </w:pPr>
  </w:p>
  <w:p w14:paraId="3E31E7E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37783</w:t>
    </w:r>
    <w:r w:rsidR="00401B64">
      <w:rPr>
        <w:szCs w:val="24"/>
      </w:rPr>
      <w:t>     </w:t>
    </w:r>
  </w:p>
  <w:p w14:paraId="3E31E7E5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09AC"/>
    <w:rsid w:val="001E26DB"/>
    <w:rsid w:val="001F34C7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622C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4A8A"/>
    <w:rsid w:val="004956DA"/>
    <w:rsid w:val="004D684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4F50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2187"/>
    <w:rsid w:val="007A54CC"/>
    <w:rsid w:val="007B340F"/>
    <w:rsid w:val="007F41D5"/>
    <w:rsid w:val="0080650C"/>
    <w:rsid w:val="00816B78"/>
    <w:rsid w:val="00823BF1"/>
    <w:rsid w:val="00824412"/>
    <w:rsid w:val="008262A3"/>
    <w:rsid w:val="00830BBE"/>
    <w:rsid w:val="0085326F"/>
    <w:rsid w:val="0086042A"/>
    <w:rsid w:val="008813BC"/>
    <w:rsid w:val="008A153F"/>
    <w:rsid w:val="008A78BE"/>
    <w:rsid w:val="008B4EC3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2CF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0CC6"/>
    <w:rsid w:val="00AE2077"/>
    <w:rsid w:val="00AF1D29"/>
    <w:rsid w:val="00B37A52"/>
    <w:rsid w:val="00B37AA5"/>
    <w:rsid w:val="00B408F8"/>
    <w:rsid w:val="00B41C8D"/>
    <w:rsid w:val="00B5078E"/>
    <w:rsid w:val="00B60EDC"/>
    <w:rsid w:val="00B8510A"/>
    <w:rsid w:val="00BA7D71"/>
    <w:rsid w:val="00BD2A96"/>
    <w:rsid w:val="00BF682C"/>
    <w:rsid w:val="00BF7644"/>
    <w:rsid w:val="00C2612E"/>
    <w:rsid w:val="00C609B7"/>
    <w:rsid w:val="00CC2881"/>
    <w:rsid w:val="00CF2E5D"/>
    <w:rsid w:val="00D047BE"/>
    <w:rsid w:val="00D220EA"/>
    <w:rsid w:val="00D26BFF"/>
    <w:rsid w:val="00D42339"/>
    <w:rsid w:val="00D57B0C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63CB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31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21C7F-0F4D-4FF3-B726-83EE4DAE8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BE9D2-DD14-44FF-ABA7-951E06573A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CFACBC-9F7C-4A0A-B46D-8F462F0F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2017-11-22T14:47:00Z</dcterms:created>
  <dcterms:modified xsi:type="dcterms:W3CDTF">2017-11-22T14:47:00Z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