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54A9A" w14:textId="77777777" w:rsidR="0029150C" w:rsidRDefault="0029150C" w:rsidP="00AE2077">
      <w:pPr>
        <w:jc w:val="right"/>
      </w:pPr>
    </w:p>
    <w:p w14:paraId="761BC464" w14:textId="77777777" w:rsidR="0029150C" w:rsidRDefault="0029150C" w:rsidP="00AE2077">
      <w:pPr>
        <w:jc w:val="right"/>
      </w:pPr>
    </w:p>
    <w:p w14:paraId="3C533CE8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37863</w:t>
      </w:r>
      <w:r w:rsidR="0016666F" w:rsidRPr="006E7BAE">
        <w:t>     </w:t>
      </w:r>
    </w:p>
    <w:p w14:paraId="3C533CE9" w14:textId="77777777" w:rsidR="009F436C" w:rsidRPr="006E7BAE" w:rsidRDefault="009F436C" w:rsidP="00382FEC"/>
    <w:p w14:paraId="3C533CEA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C533CEE" w14:textId="77777777" w:rsidTr="00C173B0">
        <w:tc>
          <w:tcPr>
            <w:tcW w:w="2269" w:type="pct"/>
          </w:tcPr>
          <w:p w14:paraId="3C533CEB" w14:textId="77777777" w:rsidR="00417FB7" w:rsidRPr="006E7BAE" w:rsidRDefault="00543EDD" w:rsidP="0052130B">
            <w:r>
              <w:t xml:space="preserve">June </w:t>
            </w:r>
            <w:r w:rsidR="0052130B">
              <w:t>21</w:t>
            </w:r>
            <w:r>
              <w:t>, 2018</w:t>
            </w:r>
          </w:p>
        </w:tc>
        <w:tc>
          <w:tcPr>
            <w:tcW w:w="381" w:type="pct"/>
          </w:tcPr>
          <w:p w14:paraId="3C533CEC" w14:textId="77777777" w:rsidR="00417FB7" w:rsidRPr="006E7BAE" w:rsidRDefault="00417FB7" w:rsidP="00382FEC"/>
        </w:tc>
        <w:tc>
          <w:tcPr>
            <w:tcW w:w="2350" w:type="pct"/>
          </w:tcPr>
          <w:p w14:paraId="3C533CED" w14:textId="77777777" w:rsidR="00417FB7" w:rsidRPr="00D83B8C" w:rsidRDefault="00543EDD" w:rsidP="0052130B">
            <w:pPr>
              <w:rPr>
                <w:lang w:val="en-US"/>
              </w:rPr>
            </w:pPr>
            <w:r>
              <w:t xml:space="preserve">Le </w:t>
            </w:r>
            <w:r w:rsidR="0052130B">
              <w:t>21</w:t>
            </w:r>
            <w:r>
              <w:t xml:space="preserve"> juin 2018</w:t>
            </w:r>
          </w:p>
        </w:tc>
      </w:tr>
      <w:tr w:rsidR="00E12A51" w:rsidRPr="006E7BAE" w14:paraId="3C533CF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C533CEF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C533CF0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C533CF1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EB5471" w14:paraId="3C533D06" w14:textId="77777777" w:rsidTr="00C173B0">
        <w:tc>
          <w:tcPr>
            <w:tcW w:w="2269" w:type="pct"/>
          </w:tcPr>
          <w:p w14:paraId="3C533CF3" w14:textId="77777777" w:rsidR="00CE1766" w:rsidRDefault="00A42AEE">
            <w:pPr>
              <w:pStyle w:val="SCCLsocPrefix"/>
            </w:pPr>
            <w:r>
              <w:t>BETWEEN:</w:t>
            </w:r>
            <w:r>
              <w:br/>
            </w:r>
          </w:p>
          <w:p w14:paraId="3C533CF4" w14:textId="202E7085" w:rsidR="00CE1766" w:rsidRDefault="00A42AEE">
            <w:pPr>
              <w:pStyle w:val="SCCLsocParty"/>
            </w:pPr>
            <w:r>
              <w:t>Keatley Surveying L</w:t>
            </w:r>
            <w:r w:rsidR="0029150C">
              <w:t>td</w:t>
            </w:r>
            <w:r>
              <w:t>.</w:t>
            </w:r>
            <w:r>
              <w:br/>
            </w:r>
          </w:p>
          <w:p w14:paraId="3C533CF5" w14:textId="46EA68DA" w:rsidR="00CE1766" w:rsidRPr="00EB5471" w:rsidRDefault="00EB5471">
            <w:pPr>
              <w:pStyle w:val="SCCLsocPartyRole"/>
              <w:rPr>
                <w:lang w:val="en-US"/>
              </w:rPr>
            </w:pPr>
            <w:r>
              <w:t>Applicant / Respondent on cross-appeal</w:t>
            </w:r>
            <w:r w:rsidR="00A42AEE" w:rsidRPr="00EB5471">
              <w:rPr>
                <w:lang w:val="en-US"/>
              </w:rPr>
              <w:br/>
            </w:r>
          </w:p>
          <w:p w14:paraId="3C533CF6" w14:textId="77777777" w:rsidR="00CE1766" w:rsidRDefault="00A42AEE">
            <w:pPr>
              <w:pStyle w:val="SCCLsocVersus"/>
            </w:pPr>
            <w:r>
              <w:t>- and -</w:t>
            </w:r>
            <w:r>
              <w:br/>
            </w:r>
          </w:p>
          <w:p w14:paraId="3C533CF7" w14:textId="77777777" w:rsidR="00CE1766" w:rsidRDefault="00A42AEE">
            <w:pPr>
              <w:pStyle w:val="SCCLsocParty"/>
            </w:pPr>
            <w:r>
              <w:t>Teranet Inc.</w:t>
            </w:r>
            <w:r>
              <w:br/>
            </w:r>
          </w:p>
          <w:p w14:paraId="3C533CF8" w14:textId="4C423E3D" w:rsidR="00CE1766" w:rsidRDefault="00EB5471">
            <w:pPr>
              <w:pStyle w:val="SCCLsocPartyRole"/>
            </w:pPr>
            <w:r>
              <w:t>Respondent / Applicant on cross-appeal</w:t>
            </w:r>
            <w:r w:rsidR="00A42AEE">
              <w:br/>
            </w:r>
          </w:p>
          <w:p w14:paraId="3C533CF9" w14:textId="77777777" w:rsidR="00CE1766" w:rsidRDefault="00A42AEE">
            <w:pPr>
              <w:pStyle w:val="SCCLsocVersus"/>
            </w:pPr>
            <w:r>
              <w:t>- and -</w:t>
            </w:r>
            <w:r>
              <w:br/>
            </w:r>
          </w:p>
          <w:p w14:paraId="3C533CFA" w14:textId="77777777" w:rsidR="00CE1766" w:rsidRDefault="00A42AEE">
            <w:pPr>
              <w:pStyle w:val="SCCLsocParty"/>
            </w:pPr>
            <w:r>
              <w:t>Attorney General of Ontario</w:t>
            </w:r>
            <w:r>
              <w:br/>
            </w:r>
          </w:p>
          <w:p w14:paraId="3C533CFB" w14:textId="77777777" w:rsidR="00CE1766" w:rsidRDefault="00A42AEE">
            <w:pPr>
              <w:pStyle w:val="SCCLsocPartyRole"/>
            </w:pPr>
            <w:r>
              <w:t>Intervener</w:t>
            </w:r>
          </w:p>
        </w:tc>
        <w:tc>
          <w:tcPr>
            <w:tcW w:w="381" w:type="pct"/>
          </w:tcPr>
          <w:p w14:paraId="3C533CFC" w14:textId="77777777" w:rsidR="00824412" w:rsidRPr="006E7BAE" w:rsidRDefault="00824412" w:rsidP="00375294"/>
        </w:tc>
        <w:tc>
          <w:tcPr>
            <w:tcW w:w="2350" w:type="pct"/>
          </w:tcPr>
          <w:p w14:paraId="3C533CFD" w14:textId="77777777" w:rsidR="00CE1766" w:rsidRPr="00AD1D83" w:rsidRDefault="00A42AEE">
            <w:pPr>
              <w:pStyle w:val="SCCLsocPrefix"/>
              <w:rPr>
                <w:lang w:val="fr-CA"/>
              </w:rPr>
            </w:pPr>
            <w:r w:rsidRPr="00AD1D83">
              <w:rPr>
                <w:lang w:val="fr-CA"/>
              </w:rPr>
              <w:t>ENTRE :</w:t>
            </w:r>
            <w:r w:rsidRPr="00AD1D83">
              <w:rPr>
                <w:lang w:val="fr-CA"/>
              </w:rPr>
              <w:br/>
            </w:r>
          </w:p>
          <w:p w14:paraId="3C533CFE" w14:textId="309F57B6" w:rsidR="00CE1766" w:rsidRPr="00AD1D83" w:rsidRDefault="00A42AEE">
            <w:pPr>
              <w:pStyle w:val="SCCLsocParty"/>
              <w:rPr>
                <w:lang w:val="fr-CA"/>
              </w:rPr>
            </w:pPr>
            <w:r w:rsidRPr="00AD1D83">
              <w:rPr>
                <w:lang w:val="fr-CA"/>
              </w:rPr>
              <w:t>Keatley Surveying L</w:t>
            </w:r>
            <w:r w:rsidR="0029150C" w:rsidRPr="00AD1D83">
              <w:rPr>
                <w:lang w:val="fr-CA"/>
              </w:rPr>
              <w:t>td</w:t>
            </w:r>
            <w:r w:rsidRPr="00AD1D83">
              <w:rPr>
                <w:lang w:val="fr-CA"/>
              </w:rPr>
              <w:t>.</w:t>
            </w:r>
            <w:r w:rsidRPr="00AD1D83">
              <w:rPr>
                <w:lang w:val="fr-CA"/>
              </w:rPr>
              <w:br/>
            </w:r>
          </w:p>
          <w:p w14:paraId="3C533CFF" w14:textId="47F0EE02" w:rsidR="00CE1766" w:rsidRPr="00EB5471" w:rsidRDefault="00A42AEE">
            <w:pPr>
              <w:pStyle w:val="SCCLsocPartyRole"/>
              <w:rPr>
                <w:lang w:val="fr-CA"/>
              </w:rPr>
            </w:pPr>
            <w:r w:rsidRPr="00EB5471">
              <w:rPr>
                <w:lang w:val="fr-CA"/>
              </w:rPr>
              <w:t>Demanderesse</w:t>
            </w:r>
            <w:r w:rsidR="00EB5471">
              <w:rPr>
                <w:lang w:val="fr-CA"/>
              </w:rPr>
              <w:t xml:space="preserve"> </w:t>
            </w:r>
            <w:r w:rsidR="00EB5471" w:rsidRPr="000C2C5E">
              <w:rPr>
                <w:lang w:val="fr-CA"/>
              </w:rPr>
              <w:t>/</w:t>
            </w:r>
            <w:r w:rsidR="00EB5471">
              <w:rPr>
                <w:lang w:val="fr-CA"/>
              </w:rPr>
              <w:t xml:space="preserve"> Intimé</w:t>
            </w:r>
            <w:r w:rsidR="00EB5471" w:rsidRPr="000C2C5E">
              <w:rPr>
                <w:lang w:val="fr-CA"/>
              </w:rPr>
              <w:t>e</w:t>
            </w:r>
            <w:r w:rsidR="00EB5471">
              <w:rPr>
                <w:lang w:val="fr-CA"/>
              </w:rPr>
              <w:t xml:space="preserve"> à l’</w:t>
            </w:r>
            <w:r w:rsidR="00EB5471" w:rsidRPr="000C2C5E">
              <w:rPr>
                <w:lang w:val="fr-CA"/>
              </w:rPr>
              <w:t>appel inciden</w:t>
            </w:r>
            <w:r w:rsidR="00EB5471">
              <w:rPr>
                <w:lang w:val="fr-CA"/>
              </w:rPr>
              <w:t>t</w:t>
            </w:r>
            <w:r w:rsidRPr="00EB5471">
              <w:rPr>
                <w:lang w:val="fr-CA"/>
              </w:rPr>
              <w:br/>
            </w:r>
          </w:p>
          <w:p w14:paraId="3C533D00" w14:textId="77777777" w:rsidR="00CE1766" w:rsidRPr="0052130B" w:rsidRDefault="00A42AEE">
            <w:pPr>
              <w:pStyle w:val="SCCLsocVersus"/>
              <w:rPr>
                <w:lang w:val="fr-FR"/>
              </w:rPr>
            </w:pPr>
            <w:r w:rsidRPr="0052130B">
              <w:rPr>
                <w:lang w:val="fr-FR"/>
              </w:rPr>
              <w:t>- et -</w:t>
            </w:r>
            <w:r w:rsidRPr="0052130B">
              <w:rPr>
                <w:lang w:val="fr-FR"/>
              </w:rPr>
              <w:br/>
            </w:r>
          </w:p>
          <w:p w14:paraId="3C533D01" w14:textId="77777777" w:rsidR="00CE1766" w:rsidRPr="0052130B" w:rsidRDefault="00A42AEE">
            <w:pPr>
              <w:pStyle w:val="SCCLsocParty"/>
              <w:rPr>
                <w:lang w:val="fr-FR"/>
              </w:rPr>
            </w:pPr>
            <w:r w:rsidRPr="0052130B">
              <w:rPr>
                <w:lang w:val="fr-FR"/>
              </w:rPr>
              <w:t>Teranet Inc.</w:t>
            </w:r>
            <w:r w:rsidRPr="0052130B">
              <w:rPr>
                <w:lang w:val="fr-FR"/>
              </w:rPr>
              <w:br/>
            </w:r>
          </w:p>
          <w:p w14:paraId="3C533D02" w14:textId="68DD1F66" w:rsidR="00CE1766" w:rsidRPr="0052130B" w:rsidRDefault="00A42AEE">
            <w:pPr>
              <w:pStyle w:val="SCCLsocPartyRole"/>
              <w:rPr>
                <w:lang w:val="fr-FR"/>
              </w:rPr>
            </w:pPr>
            <w:r w:rsidRPr="0052130B">
              <w:rPr>
                <w:lang w:val="fr-FR"/>
              </w:rPr>
              <w:t>Intimée</w:t>
            </w:r>
            <w:r w:rsidR="00EB5471">
              <w:rPr>
                <w:lang w:val="fr-FR"/>
              </w:rPr>
              <w:t xml:space="preserve"> / Demanderesse </w:t>
            </w:r>
            <w:r w:rsidR="00EB5471">
              <w:rPr>
                <w:lang w:val="fr-CA"/>
              </w:rPr>
              <w:t>à l’</w:t>
            </w:r>
            <w:r w:rsidR="00EB5471" w:rsidRPr="000C2C5E">
              <w:rPr>
                <w:lang w:val="fr-CA"/>
              </w:rPr>
              <w:t>appel inciden</w:t>
            </w:r>
            <w:r w:rsidR="00EB5471">
              <w:rPr>
                <w:lang w:val="fr-CA"/>
              </w:rPr>
              <w:t>t</w:t>
            </w:r>
            <w:r w:rsidR="00EB5471" w:rsidRPr="00EB5471">
              <w:rPr>
                <w:lang w:val="fr-CA"/>
              </w:rPr>
              <w:br/>
            </w:r>
          </w:p>
          <w:p w14:paraId="3C533D03" w14:textId="77777777" w:rsidR="00CE1766" w:rsidRPr="0052130B" w:rsidRDefault="00A42AEE">
            <w:pPr>
              <w:pStyle w:val="SCCLsocVersus"/>
              <w:rPr>
                <w:lang w:val="fr-FR"/>
              </w:rPr>
            </w:pPr>
            <w:r w:rsidRPr="0052130B">
              <w:rPr>
                <w:lang w:val="fr-FR"/>
              </w:rPr>
              <w:t>- et -</w:t>
            </w:r>
            <w:r w:rsidRPr="0052130B">
              <w:rPr>
                <w:lang w:val="fr-FR"/>
              </w:rPr>
              <w:br/>
            </w:r>
          </w:p>
          <w:p w14:paraId="3C533D04" w14:textId="6BF4C033" w:rsidR="00CE1766" w:rsidRPr="006C0E40" w:rsidRDefault="0029150C">
            <w:pPr>
              <w:pStyle w:val="SCCLsocParty"/>
              <w:rPr>
                <w:lang w:val="fr-CA"/>
              </w:rPr>
            </w:pPr>
            <w:r w:rsidRPr="006C0E40">
              <w:rPr>
                <w:lang w:val="fr-CA"/>
              </w:rPr>
              <w:t>Procureur général de l’Ontario</w:t>
            </w:r>
            <w:r w:rsidR="00A42AEE" w:rsidRPr="006C0E40">
              <w:rPr>
                <w:lang w:val="fr-CA"/>
              </w:rPr>
              <w:br/>
            </w:r>
          </w:p>
          <w:p w14:paraId="3C533D05" w14:textId="77777777" w:rsidR="00CE1766" w:rsidRPr="006C0E40" w:rsidRDefault="00A42AEE" w:rsidP="00470F07">
            <w:pPr>
              <w:pStyle w:val="SCCLsocPartyRole"/>
              <w:rPr>
                <w:lang w:val="fr-CA"/>
              </w:rPr>
            </w:pPr>
            <w:r w:rsidRPr="006C0E40">
              <w:rPr>
                <w:lang w:val="fr-CA"/>
              </w:rPr>
              <w:t>Intervenant</w:t>
            </w:r>
          </w:p>
        </w:tc>
      </w:tr>
      <w:tr w:rsidR="00824412" w:rsidRPr="00EB5471" w14:paraId="3C533D0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C533D07" w14:textId="77777777" w:rsidR="00824412" w:rsidRPr="006C0E40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C533D08" w14:textId="77777777" w:rsidR="00824412" w:rsidRPr="006C0E40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C533D09" w14:textId="77777777" w:rsidR="00824412" w:rsidRPr="006C0E40" w:rsidRDefault="00824412" w:rsidP="00B408F8">
            <w:pPr>
              <w:rPr>
                <w:lang w:val="fr-CA"/>
              </w:rPr>
            </w:pPr>
          </w:p>
        </w:tc>
      </w:tr>
      <w:tr w:rsidR="00824412" w:rsidRPr="00A62E3D" w14:paraId="3C533D14" w14:textId="77777777" w:rsidTr="00C173B0">
        <w:tc>
          <w:tcPr>
            <w:tcW w:w="2269" w:type="pct"/>
          </w:tcPr>
          <w:p w14:paraId="3C533D0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C533D0C" w14:textId="77777777" w:rsidR="00824412" w:rsidRPr="006E7BAE" w:rsidRDefault="00824412" w:rsidP="00417FB7">
            <w:pPr>
              <w:jc w:val="center"/>
            </w:pPr>
          </w:p>
          <w:p w14:paraId="3C533D0F" w14:textId="2EBE9A5C" w:rsidR="003F6511" w:rsidRPr="006E7BAE" w:rsidRDefault="00824412" w:rsidP="00AD1D83">
            <w:pPr>
              <w:jc w:val="both"/>
            </w:pPr>
            <w:r w:rsidRPr="006E7BAE">
              <w:t>The app</w:t>
            </w:r>
            <w:r w:rsidR="00011960" w:rsidRPr="006E7BAE">
              <w:t>lication for leave to appea</w:t>
            </w:r>
            <w:r w:rsidR="00AD1D83">
              <w:t>l</w:t>
            </w:r>
            <w:r w:rsidR="00196A93">
              <w:t xml:space="preserve"> and</w:t>
            </w:r>
            <w:r w:rsidR="003E2855">
              <w:t xml:space="preserve"> the application for leave to</w:t>
            </w:r>
            <w:r w:rsidR="006C0E40">
              <w:t xml:space="preserve"> cross</w:t>
            </w:r>
            <w:r w:rsidR="006C0E40" w:rsidRPr="00EB5471">
              <w:rPr>
                <w:b/>
              </w:rPr>
              <w:t>-</w:t>
            </w:r>
            <w:r w:rsidR="00196A93">
              <w:t>appeal</w:t>
            </w:r>
            <w:r w:rsidR="00011960" w:rsidRPr="006E7BAE">
              <w:t xml:space="preserve">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Ontario</w:t>
            </w:r>
            <w:r w:rsidRPr="006E7BAE">
              <w:t>, Number</w:t>
            </w:r>
            <w:r w:rsidR="003E2855">
              <w:t xml:space="preserve"> C62211,</w:t>
            </w:r>
            <w:r w:rsidRPr="006E7BAE">
              <w:t xml:space="preserve"> </w:t>
            </w:r>
            <w:r>
              <w:t>2017 ONCA 748,</w:t>
            </w:r>
            <w:r w:rsidRPr="006E7BAE">
              <w:t xml:space="preserve"> dated </w:t>
            </w:r>
            <w:r>
              <w:t>September 28, 2017</w:t>
            </w:r>
            <w:r w:rsidR="00A42AEE">
              <w:t>,</w:t>
            </w:r>
            <w:r w:rsidRPr="006E7BAE">
              <w:t xml:space="preserve"> </w:t>
            </w:r>
            <w:r w:rsidR="003E2855">
              <w:t>are</w:t>
            </w:r>
            <w:r w:rsidRPr="006E7BAE">
              <w:t xml:space="preserve"> </w:t>
            </w:r>
            <w:r w:rsidR="0059621A">
              <w:t>granted with costs in the cause</w:t>
            </w:r>
            <w:r w:rsidRPr="006E7BAE">
              <w:t>.</w:t>
            </w:r>
            <w:r w:rsidR="00A62E3D">
              <w:t xml:space="preserve"> </w:t>
            </w:r>
            <w:r w:rsidR="00A62E3D" w:rsidRPr="00A62E3D">
              <w:t>The schedule for serving and filing materia</w:t>
            </w:r>
            <w:bookmarkStart w:id="1" w:name="_GoBack"/>
            <w:bookmarkEnd w:id="1"/>
            <w:r w:rsidR="00A62E3D" w:rsidRPr="00A62E3D">
              <w:t>l will be set by the Registrar.</w:t>
            </w:r>
          </w:p>
        </w:tc>
        <w:tc>
          <w:tcPr>
            <w:tcW w:w="381" w:type="pct"/>
          </w:tcPr>
          <w:p w14:paraId="3C533D1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C533D1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C533D12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C533D13" w14:textId="6FC7DFBB" w:rsidR="003F6511" w:rsidRPr="006E7BAE" w:rsidRDefault="00824412" w:rsidP="006C0E4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 xml:space="preserve">a demande d’autorisation d’appel </w:t>
            </w:r>
            <w:r w:rsidR="00196A93">
              <w:rPr>
                <w:lang w:val="fr-CA"/>
              </w:rPr>
              <w:t xml:space="preserve">et </w:t>
            </w:r>
            <w:r w:rsidR="003E2855" w:rsidRPr="006C0E40">
              <w:rPr>
                <w:lang w:val="fr-CA"/>
              </w:rPr>
              <w:t>la demande d’autorisation d’appel incident</w:t>
            </w:r>
            <w:r w:rsidR="006C0E40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de l’arrêt de la</w:t>
            </w:r>
            <w:r w:rsidRPr="006E7BAE">
              <w:rPr>
                <w:lang w:val="fr-CA"/>
              </w:rPr>
              <w:t xml:space="preserve"> </w:t>
            </w:r>
            <w:r w:rsidRPr="0052130B">
              <w:rPr>
                <w:lang w:val="fr-FR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="003E2855">
              <w:rPr>
                <w:lang w:val="fr-CA"/>
              </w:rPr>
              <w:t xml:space="preserve">C62211, </w:t>
            </w:r>
            <w:r w:rsidRPr="0052130B">
              <w:rPr>
                <w:lang w:val="fr-FR"/>
              </w:rPr>
              <w:t>2017 ONCA 748,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52130B">
              <w:rPr>
                <w:lang w:val="fr-FR"/>
              </w:rPr>
              <w:t>28 septembre 2017</w:t>
            </w:r>
            <w:r w:rsidRPr="006E7BAE">
              <w:rPr>
                <w:lang w:val="fr-CA"/>
              </w:rPr>
              <w:t xml:space="preserve">, </w:t>
            </w:r>
            <w:r w:rsidR="003E2855">
              <w:rPr>
                <w:lang w:val="fr-CA"/>
              </w:rPr>
              <w:t>sont</w:t>
            </w:r>
            <w:r w:rsidRPr="006E7BAE">
              <w:rPr>
                <w:lang w:val="fr-CA"/>
              </w:rPr>
              <w:t xml:space="preserve"> </w:t>
            </w:r>
            <w:r w:rsidR="00196A93">
              <w:rPr>
                <w:lang w:val="fr-CA"/>
              </w:rPr>
              <w:t>accueillie</w:t>
            </w:r>
            <w:r w:rsidR="003E2855">
              <w:rPr>
                <w:lang w:val="fr-CA"/>
              </w:rPr>
              <w:t>s</w:t>
            </w:r>
            <w:r w:rsidR="0059621A">
              <w:rPr>
                <w:lang w:val="fr-CA"/>
              </w:rPr>
              <w:t xml:space="preserve"> avec </w:t>
            </w:r>
            <w:r w:rsidR="00196A93">
              <w:rPr>
                <w:lang w:val="fr-CA"/>
              </w:rPr>
              <w:t>dépens</w:t>
            </w:r>
            <w:r w:rsidR="00415D83">
              <w:rPr>
                <w:lang w:val="fr-CA"/>
              </w:rPr>
              <w:t xml:space="preserve"> </w:t>
            </w:r>
            <w:r w:rsidR="00415D83" w:rsidRPr="006C0E40">
              <w:rPr>
                <w:lang w:val="fr-CA"/>
              </w:rPr>
              <w:t xml:space="preserve">suivant l’issue de </w:t>
            </w:r>
            <w:r w:rsidR="006C0E40">
              <w:rPr>
                <w:lang w:val="fr-CA"/>
              </w:rPr>
              <w:t>la cause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  <w:r w:rsidR="00A62E3D" w:rsidRPr="00A62E3D">
              <w:rPr>
                <w:lang w:val="fr-CA"/>
              </w:rPr>
              <w:t>L’échéancier pour la signification et le dépôt des documents sera fixé par le Registraire.</w:t>
            </w:r>
          </w:p>
        </w:tc>
      </w:tr>
    </w:tbl>
    <w:p w14:paraId="3C533D15" w14:textId="77777777" w:rsidR="009F436C" w:rsidRDefault="009F436C" w:rsidP="00417FB7">
      <w:pPr>
        <w:jc w:val="center"/>
        <w:rPr>
          <w:lang w:val="fr-CA"/>
        </w:rPr>
      </w:pPr>
    </w:p>
    <w:p w14:paraId="4B02049A" w14:textId="77777777" w:rsidR="00EB78EF" w:rsidRPr="00D83B8C" w:rsidRDefault="00EB78EF" w:rsidP="00417FB7">
      <w:pPr>
        <w:jc w:val="center"/>
        <w:rPr>
          <w:lang w:val="fr-CA"/>
        </w:rPr>
      </w:pPr>
    </w:p>
    <w:p w14:paraId="3C533D16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3C533D17" w14:textId="77777777" w:rsidR="008F53F3" w:rsidRPr="00A252FA" w:rsidRDefault="006C0B85" w:rsidP="00417FB7">
      <w:pPr>
        <w:jc w:val="center"/>
        <w:rPr>
          <w:lang w:val="fr-CA"/>
        </w:rPr>
      </w:pPr>
      <w:r>
        <w:rPr>
          <w:lang w:val="fr-CA"/>
        </w:rPr>
        <w:lastRenderedPageBreak/>
        <w:t>J.C.S.C.</w:t>
      </w:r>
    </w:p>
    <w:sectPr w:rsidR="008F53F3" w:rsidRPr="00A252FA" w:rsidSect="0029150C">
      <w:headerReference w:type="default" r:id="rId9"/>
      <w:headerReference w:type="first" r:id="rId10"/>
      <w:type w:val="continuous"/>
      <w:pgSz w:w="12240" w:h="15840"/>
      <w:pgMar w:top="720" w:right="1440" w:bottom="27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33D1A" w14:textId="77777777" w:rsidR="00983D48" w:rsidRDefault="00983D48">
      <w:r>
        <w:separator/>
      </w:r>
    </w:p>
  </w:endnote>
  <w:endnote w:type="continuationSeparator" w:id="0">
    <w:p w14:paraId="3C533D1B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33D18" w14:textId="77777777" w:rsidR="00983D48" w:rsidRDefault="00983D48">
      <w:r>
        <w:separator/>
      </w:r>
    </w:p>
  </w:footnote>
  <w:footnote w:type="continuationSeparator" w:id="0">
    <w:p w14:paraId="3C533D1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33D1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8315C0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C533D1D" w14:textId="77777777" w:rsidR="008F53F3" w:rsidRDefault="008F53F3" w:rsidP="008F53F3">
    <w:pPr>
      <w:rPr>
        <w:szCs w:val="24"/>
      </w:rPr>
    </w:pPr>
  </w:p>
  <w:p w14:paraId="3C533D1E" w14:textId="77777777" w:rsidR="008F53F3" w:rsidRDefault="008F53F3" w:rsidP="008F53F3">
    <w:pPr>
      <w:rPr>
        <w:szCs w:val="24"/>
      </w:rPr>
    </w:pPr>
  </w:p>
  <w:p w14:paraId="3C533D1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37863</w:t>
    </w:r>
    <w:r>
      <w:rPr>
        <w:szCs w:val="24"/>
      </w:rPr>
      <w:t>     </w:t>
    </w:r>
  </w:p>
  <w:p w14:paraId="3C533D20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C533D21" w14:textId="77777777" w:rsidR="0073151A" w:rsidRDefault="0073151A" w:rsidP="0073151A"/>
      <w:p w14:paraId="3C533D22" w14:textId="77777777" w:rsidR="0073151A" w:rsidRPr="006E7BAE" w:rsidRDefault="0073151A" w:rsidP="0073151A"/>
      <w:p w14:paraId="3C533D23" w14:textId="77777777" w:rsidR="0073151A" w:rsidRPr="006E7BAE" w:rsidRDefault="0073151A" w:rsidP="0073151A"/>
      <w:p w14:paraId="3C533D24" w14:textId="77777777" w:rsidR="0073151A" w:rsidRPr="006E7BAE" w:rsidRDefault="0073151A" w:rsidP="0073151A"/>
      <w:p w14:paraId="3C533D25" w14:textId="77777777" w:rsidR="0073151A" w:rsidRDefault="0073151A" w:rsidP="0073151A"/>
      <w:p w14:paraId="3C533D26" w14:textId="77777777" w:rsidR="0073151A" w:rsidRDefault="0073151A" w:rsidP="0073151A"/>
      <w:p w14:paraId="3C533D27" w14:textId="77777777" w:rsidR="0073151A" w:rsidRDefault="0073151A" w:rsidP="0073151A"/>
      <w:p w14:paraId="3C533D28" w14:textId="77777777" w:rsidR="0073151A" w:rsidRDefault="0073151A" w:rsidP="0073151A"/>
      <w:p w14:paraId="3C533D29" w14:textId="77777777" w:rsidR="0073151A" w:rsidRDefault="0073151A" w:rsidP="0073151A"/>
      <w:p w14:paraId="3C533D2A" w14:textId="77777777" w:rsidR="0073151A" w:rsidRPr="006E7BAE" w:rsidRDefault="0073151A" w:rsidP="0073151A"/>
      <w:p w14:paraId="3C533D2B" w14:textId="77777777" w:rsidR="00ED265D" w:rsidRPr="0073151A" w:rsidRDefault="008315C0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96A93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9150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E2855"/>
    <w:rsid w:val="003F6511"/>
    <w:rsid w:val="00410EDC"/>
    <w:rsid w:val="00414694"/>
    <w:rsid w:val="00415D83"/>
    <w:rsid w:val="00417FB7"/>
    <w:rsid w:val="0042783F"/>
    <w:rsid w:val="00470F07"/>
    <w:rsid w:val="004943CF"/>
    <w:rsid w:val="004956DA"/>
    <w:rsid w:val="004D4658"/>
    <w:rsid w:val="0052130B"/>
    <w:rsid w:val="00543EDD"/>
    <w:rsid w:val="0055345D"/>
    <w:rsid w:val="00563E2C"/>
    <w:rsid w:val="00587869"/>
    <w:rsid w:val="0059621A"/>
    <w:rsid w:val="00612913"/>
    <w:rsid w:val="00614908"/>
    <w:rsid w:val="00650109"/>
    <w:rsid w:val="006C0B85"/>
    <w:rsid w:val="006C0E40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315C0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42AEE"/>
    <w:rsid w:val="00A62E3D"/>
    <w:rsid w:val="00AB4A38"/>
    <w:rsid w:val="00AB5E22"/>
    <w:rsid w:val="00AD1D83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1766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23FD"/>
    <w:rsid w:val="00EA4B61"/>
    <w:rsid w:val="00EB5471"/>
    <w:rsid w:val="00EB78EF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C533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customStyle="1" w:styleId="solext210">
    <w:name w:val="solext210"/>
    <w:basedOn w:val="DefaultParagraphFont"/>
    <w:rsid w:val="00415D83"/>
    <w:rPr>
      <w:shd w:val="clear" w:color="auto" w:fill="FDD3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7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073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8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19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936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11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12259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2018-06-11T04:00:00+00:00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Abella; Gascon;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1099BAC7-7366-4753-A71B-6692D8E87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BE0A2-6124-44F4-B66E-5EE174C1A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975AF-49C8-4D08-B216-AB9BCAD2E046}">
  <ds:schemaRefs>
    <ds:schemaRef ds:uri="http://purl.org/dc/terms/"/>
    <ds:schemaRef ds:uri="http://purl.org/dc/dcmitype/"/>
    <ds:schemaRef ds:uri="http://schemas.microsoft.com/office/2006/documentManagement/types"/>
    <ds:schemaRef ds:uri="40ae4924-d04e-473c-aafa-3657aad971d6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2018-06-21T12:02:00Z</dcterms:created>
  <dcterms:modified xsi:type="dcterms:W3CDTF">2018-06-21T12:02:00Z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