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B88AB" w14:textId="77777777" w:rsidR="009F436C" w:rsidRPr="00C0592D" w:rsidRDefault="00BD2A96" w:rsidP="00AE2077">
      <w:pPr>
        <w:jc w:val="right"/>
      </w:pPr>
      <w:bookmarkStart w:id="0" w:name="_GoBack"/>
      <w:bookmarkEnd w:id="0"/>
      <w:r w:rsidRPr="00C0592D">
        <w:rPr>
          <w:szCs w:val="24"/>
        </w:rPr>
        <w:t>N</w:t>
      </w:r>
      <w:r w:rsidRPr="00C0592D">
        <w:rPr>
          <w:szCs w:val="24"/>
          <w:vertAlign w:val="superscript"/>
        </w:rPr>
        <w:t>o</w:t>
      </w:r>
      <w:r w:rsidR="003A37CF" w:rsidRPr="00C0592D">
        <w:t xml:space="preserve"> </w:t>
      </w:r>
      <w:r w:rsidRPr="00C0592D">
        <w:t>38759</w:t>
      </w:r>
      <w:r w:rsidR="00E81C0B" w:rsidRPr="00C0592D">
        <w:t>     </w:t>
      </w:r>
    </w:p>
    <w:p w14:paraId="4E7B88AC" w14:textId="77777777" w:rsidR="009F436C" w:rsidRPr="00C0592D" w:rsidRDefault="009F436C" w:rsidP="00382FEC"/>
    <w:p w14:paraId="4E7B88AD" w14:textId="77777777" w:rsidR="003C744C" w:rsidRPr="00C0592D" w:rsidRDefault="003C744C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C0592D" w14:paraId="4E7B88B1" w14:textId="77777777" w:rsidTr="003D441C">
        <w:tc>
          <w:tcPr>
            <w:tcW w:w="2316" w:type="pct"/>
          </w:tcPr>
          <w:p w14:paraId="4E7B88AE" w14:textId="77777777" w:rsidR="00417FB7" w:rsidRPr="00C0592D" w:rsidRDefault="0062554E" w:rsidP="007A66EF">
            <w:r w:rsidRPr="00C0592D">
              <w:t xml:space="preserve">Le </w:t>
            </w:r>
            <w:r w:rsidR="007A66EF" w:rsidRPr="00C0592D">
              <w:t>20</w:t>
            </w:r>
            <w:r w:rsidRPr="00C0592D">
              <w:t xml:space="preserve"> février 2020</w:t>
            </w:r>
          </w:p>
        </w:tc>
        <w:tc>
          <w:tcPr>
            <w:tcW w:w="374" w:type="pct"/>
          </w:tcPr>
          <w:p w14:paraId="4E7B88AF" w14:textId="77777777" w:rsidR="00417FB7" w:rsidRPr="00C0592D" w:rsidRDefault="00417FB7" w:rsidP="00382FEC"/>
        </w:tc>
        <w:tc>
          <w:tcPr>
            <w:tcW w:w="2310" w:type="pct"/>
          </w:tcPr>
          <w:p w14:paraId="4E7B88B0" w14:textId="77777777" w:rsidR="00417FB7" w:rsidRPr="00C0592D" w:rsidRDefault="0062554E" w:rsidP="007A66EF">
            <w:pPr>
              <w:rPr>
                <w:lang w:val="en-CA"/>
              </w:rPr>
            </w:pPr>
            <w:r w:rsidRPr="00C0592D">
              <w:t xml:space="preserve">February </w:t>
            </w:r>
            <w:r w:rsidR="007A66EF" w:rsidRPr="00C0592D">
              <w:t>20</w:t>
            </w:r>
            <w:r w:rsidRPr="00C0592D">
              <w:t>, 2020</w:t>
            </w:r>
          </w:p>
        </w:tc>
      </w:tr>
      <w:tr w:rsidR="00C2612E" w:rsidRPr="00C0592D" w14:paraId="4E7B88B5" w14:textId="77777777" w:rsidTr="003D441C">
        <w:tc>
          <w:tcPr>
            <w:tcW w:w="2316" w:type="pct"/>
            <w:tcMar>
              <w:top w:w="0" w:type="dxa"/>
              <w:bottom w:w="0" w:type="dxa"/>
            </w:tcMar>
          </w:tcPr>
          <w:p w14:paraId="4E7B88B2" w14:textId="77777777" w:rsidR="00C2612E" w:rsidRPr="00C0592D" w:rsidRDefault="00C2612E" w:rsidP="008262A3">
            <w:pPr>
              <w:rPr>
                <w:lang w:val="en-US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E7B88B3" w14:textId="77777777" w:rsidR="00C2612E" w:rsidRPr="00C0592D" w:rsidRDefault="00C2612E" w:rsidP="00382FEC">
            <w:pPr>
              <w:rPr>
                <w:lang w:val="en-US"/>
              </w:rPr>
            </w:pP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4E7B88B4" w14:textId="77777777" w:rsidR="00C2612E" w:rsidRPr="00C0592D" w:rsidRDefault="00C2612E" w:rsidP="00382FEC">
            <w:pPr>
              <w:rPr>
                <w:lang w:val="en-CA"/>
              </w:rPr>
            </w:pPr>
          </w:p>
        </w:tc>
      </w:tr>
      <w:tr w:rsidR="00824412" w:rsidRPr="00C0592D" w14:paraId="4E7B88C3" w14:textId="77777777" w:rsidTr="003D441C">
        <w:tc>
          <w:tcPr>
            <w:tcW w:w="2316" w:type="pct"/>
          </w:tcPr>
          <w:p w14:paraId="4E7B88B6" w14:textId="77777777" w:rsidR="00166E32" w:rsidRPr="00C0592D" w:rsidRDefault="00470A64">
            <w:pPr>
              <w:pStyle w:val="SCCLsocPrefix"/>
            </w:pPr>
            <w:r w:rsidRPr="00C0592D">
              <w:t>ENTRE</w:t>
            </w:r>
            <w:r w:rsidR="003D441C" w:rsidRPr="00C0592D">
              <w:t> :</w:t>
            </w:r>
            <w:r w:rsidRPr="00C0592D">
              <w:br/>
            </w:r>
          </w:p>
          <w:p w14:paraId="4E7B88B7" w14:textId="77777777" w:rsidR="00166E32" w:rsidRPr="00C0592D" w:rsidRDefault="00470A64">
            <w:pPr>
              <w:pStyle w:val="SCCLsocParty"/>
            </w:pPr>
            <w:r w:rsidRPr="00C0592D">
              <w:t>Ville de Montréal</w:t>
            </w:r>
            <w:r w:rsidRPr="00C0592D">
              <w:br/>
            </w:r>
          </w:p>
          <w:p w14:paraId="4E7B88B8" w14:textId="77777777" w:rsidR="00166E32" w:rsidRPr="00C0592D" w:rsidRDefault="007A66EF">
            <w:pPr>
              <w:pStyle w:val="SCCLsocPartyRole"/>
            </w:pPr>
            <w:r w:rsidRPr="00C0592D">
              <w:t>Demanderesse</w:t>
            </w:r>
            <w:r w:rsidR="00470A64" w:rsidRPr="00C0592D">
              <w:br/>
            </w:r>
          </w:p>
          <w:p w14:paraId="4E7B88B9" w14:textId="77777777" w:rsidR="00166E32" w:rsidRPr="00C0592D" w:rsidRDefault="003D441C">
            <w:pPr>
              <w:pStyle w:val="SCCLsocVersus"/>
            </w:pPr>
            <w:r w:rsidRPr="00C0592D">
              <w:noBreakHyphen/>
            </w:r>
            <w:r w:rsidR="00470A64" w:rsidRPr="00C0592D">
              <w:t xml:space="preserve"> et </w:t>
            </w:r>
            <w:r w:rsidRPr="00C0592D">
              <w:noBreakHyphen/>
            </w:r>
            <w:r w:rsidR="00470A64" w:rsidRPr="00C0592D">
              <w:br/>
            </w:r>
          </w:p>
          <w:p w14:paraId="4E7B88BA" w14:textId="6C0A2407" w:rsidR="00166E32" w:rsidRPr="00C0592D" w:rsidRDefault="00470A64">
            <w:pPr>
              <w:pStyle w:val="SCCLsocParty"/>
            </w:pPr>
            <w:r w:rsidRPr="00C0592D">
              <w:t xml:space="preserve">Litwin Boyadjian inc., ès qualité de syndic à la faillite de </w:t>
            </w:r>
            <w:r w:rsidR="00415520" w:rsidRPr="00C0592D">
              <w:t>S</w:t>
            </w:r>
            <w:r w:rsidRPr="00C0592D">
              <w:t>ociété de vélo en libre</w:t>
            </w:r>
            <w:r w:rsidR="003D441C" w:rsidRPr="00C0592D">
              <w:noBreakHyphen/>
            </w:r>
            <w:r w:rsidRPr="00C0592D">
              <w:t>service</w:t>
            </w:r>
            <w:r w:rsidRPr="00C0592D">
              <w:br/>
            </w:r>
          </w:p>
          <w:p w14:paraId="5E4DA773" w14:textId="77777777" w:rsidR="00415520" w:rsidRPr="00C0592D" w:rsidRDefault="00415520" w:rsidP="00415520"/>
          <w:p w14:paraId="4E7B88BB" w14:textId="77777777" w:rsidR="00166E32" w:rsidRPr="00C0592D" w:rsidRDefault="007A66EF">
            <w:pPr>
              <w:pStyle w:val="SCCLsocPartyRole"/>
            </w:pPr>
            <w:r w:rsidRPr="00C0592D">
              <w:t>Intimée</w:t>
            </w:r>
          </w:p>
        </w:tc>
        <w:tc>
          <w:tcPr>
            <w:tcW w:w="374" w:type="pct"/>
          </w:tcPr>
          <w:p w14:paraId="4E7B88BC" w14:textId="77777777" w:rsidR="00824412" w:rsidRPr="00C0592D" w:rsidRDefault="00824412" w:rsidP="00375294">
            <w:pPr>
              <w:rPr>
                <w:lang w:val="en-US"/>
              </w:rPr>
            </w:pPr>
          </w:p>
        </w:tc>
        <w:tc>
          <w:tcPr>
            <w:tcW w:w="2310" w:type="pct"/>
          </w:tcPr>
          <w:p w14:paraId="4E7B88BD" w14:textId="77777777" w:rsidR="00166E32" w:rsidRPr="00C0592D" w:rsidRDefault="00470A64">
            <w:pPr>
              <w:pStyle w:val="SCCLsocPrefix"/>
            </w:pPr>
            <w:r w:rsidRPr="00C0592D">
              <w:t>BETWEEN:</w:t>
            </w:r>
            <w:r w:rsidRPr="00C0592D">
              <w:br/>
            </w:r>
          </w:p>
          <w:p w14:paraId="4E7B88BE" w14:textId="77777777" w:rsidR="00166E32" w:rsidRPr="00C0592D" w:rsidRDefault="00470A64">
            <w:pPr>
              <w:pStyle w:val="SCCLsocParty"/>
            </w:pPr>
            <w:r w:rsidRPr="00C0592D">
              <w:t>Ville de Montréal</w:t>
            </w:r>
            <w:r w:rsidRPr="00C0592D">
              <w:br/>
            </w:r>
          </w:p>
          <w:p w14:paraId="4E7B88BF" w14:textId="77777777" w:rsidR="00166E32" w:rsidRPr="00C0592D" w:rsidRDefault="00470A64">
            <w:pPr>
              <w:pStyle w:val="SCCLsocPartyRole"/>
            </w:pPr>
            <w:r w:rsidRPr="00C0592D">
              <w:t>Applicant</w:t>
            </w:r>
            <w:r w:rsidRPr="00C0592D">
              <w:br/>
            </w:r>
          </w:p>
          <w:p w14:paraId="4E7B88C0" w14:textId="77777777" w:rsidR="00166E32" w:rsidRPr="00C0592D" w:rsidRDefault="003D441C">
            <w:pPr>
              <w:pStyle w:val="SCCLsocVersus"/>
              <w:rPr>
                <w:lang w:val="en-US"/>
              </w:rPr>
            </w:pPr>
            <w:r w:rsidRPr="00C0592D">
              <w:rPr>
                <w:lang w:val="en-US"/>
              </w:rPr>
              <w:noBreakHyphen/>
            </w:r>
            <w:r w:rsidR="00470A64" w:rsidRPr="00C0592D">
              <w:rPr>
                <w:lang w:val="en-US"/>
              </w:rPr>
              <w:t xml:space="preserve"> and </w:t>
            </w:r>
            <w:r w:rsidRPr="00C0592D">
              <w:rPr>
                <w:lang w:val="en-US"/>
              </w:rPr>
              <w:noBreakHyphen/>
            </w:r>
            <w:r w:rsidR="00470A64" w:rsidRPr="00C0592D">
              <w:rPr>
                <w:lang w:val="en-US"/>
              </w:rPr>
              <w:br/>
            </w:r>
          </w:p>
          <w:p w14:paraId="4E7B88C1" w14:textId="155404A9" w:rsidR="00166E32" w:rsidRPr="00C0592D" w:rsidRDefault="00470A64">
            <w:pPr>
              <w:pStyle w:val="SCCLsocParty"/>
              <w:rPr>
                <w:lang w:val="en-US"/>
              </w:rPr>
            </w:pPr>
            <w:r w:rsidRPr="00C0592D">
              <w:rPr>
                <w:lang w:val="en-US"/>
              </w:rPr>
              <w:t xml:space="preserve">Litwin Boyadjian inc., </w:t>
            </w:r>
            <w:r w:rsidR="00400FDB" w:rsidRPr="00C0592D">
              <w:rPr>
                <w:lang w:val="en-US"/>
              </w:rPr>
              <w:t xml:space="preserve">in </w:t>
            </w:r>
            <w:r w:rsidR="004502CD" w:rsidRPr="00C0592D">
              <w:rPr>
                <w:lang w:val="en-US"/>
              </w:rPr>
              <w:t>its capacity as trustee in bankruptcy of</w:t>
            </w:r>
            <w:r w:rsidRPr="00C0592D">
              <w:rPr>
                <w:lang w:val="en-US"/>
              </w:rPr>
              <w:t xml:space="preserve"> </w:t>
            </w:r>
            <w:r w:rsidR="004502CD" w:rsidRPr="00C0592D">
              <w:rPr>
                <w:lang w:val="en-US"/>
              </w:rPr>
              <w:t>Public Bike System Company</w:t>
            </w:r>
            <w:r w:rsidRPr="00C0592D">
              <w:rPr>
                <w:lang w:val="en-US"/>
              </w:rPr>
              <w:br/>
            </w:r>
          </w:p>
          <w:p w14:paraId="4E7B88C2" w14:textId="77777777" w:rsidR="00166E32" w:rsidRPr="00C0592D" w:rsidRDefault="00470A64">
            <w:pPr>
              <w:pStyle w:val="SCCLsocPartyRole"/>
              <w:rPr>
                <w:lang w:val="en-US"/>
              </w:rPr>
            </w:pPr>
            <w:r w:rsidRPr="00C0592D">
              <w:rPr>
                <w:lang w:val="en-US"/>
              </w:rPr>
              <w:t>Respondent</w:t>
            </w:r>
          </w:p>
        </w:tc>
      </w:tr>
      <w:tr w:rsidR="00824412" w:rsidRPr="00C0592D" w14:paraId="4E7B88C7" w14:textId="77777777" w:rsidTr="003D441C">
        <w:tc>
          <w:tcPr>
            <w:tcW w:w="2316" w:type="pct"/>
            <w:tcMar>
              <w:top w:w="0" w:type="dxa"/>
              <w:bottom w:w="0" w:type="dxa"/>
            </w:tcMar>
          </w:tcPr>
          <w:p w14:paraId="4E7B88C4" w14:textId="77777777" w:rsidR="00824412" w:rsidRPr="00C0592D" w:rsidRDefault="00824412" w:rsidP="00375294">
            <w:pPr>
              <w:rPr>
                <w:lang w:val="en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E7B88C5" w14:textId="77777777" w:rsidR="00824412" w:rsidRPr="00C0592D" w:rsidRDefault="00824412" w:rsidP="00375294">
            <w:pPr>
              <w:rPr>
                <w:lang w:val="en-US"/>
              </w:rPr>
            </w:pP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4E7B88C6" w14:textId="77777777" w:rsidR="00824412" w:rsidRPr="00C0592D" w:rsidRDefault="00824412" w:rsidP="00B408F8">
            <w:pPr>
              <w:rPr>
                <w:lang w:val="en-CA"/>
              </w:rPr>
            </w:pPr>
          </w:p>
        </w:tc>
      </w:tr>
      <w:tr w:rsidR="00824412" w:rsidRPr="00C0592D" w14:paraId="4E7B88D3" w14:textId="77777777" w:rsidTr="00C0592D">
        <w:trPr>
          <w:trHeight w:val="1355"/>
        </w:trPr>
        <w:tc>
          <w:tcPr>
            <w:tcW w:w="2316" w:type="pct"/>
          </w:tcPr>
          <w:p w14:paraId="4E7B88C8" w14:textId="77777777" w:rsidR="0027081E" w:rsidRPr="00C0592D" w:rsidRDefault="0027081E" w:rsidP="0027081E">
            <w:pPr>
              <w:jc w:val="center"/>
            </w:pPr>
            <w:r w:rsidRPr="00C0592D">
              <w:t>JUGEMENT</w:t>
            </w:r>
          </w:p>
          <w:p w14:paraId="4E7B88C9" w14:textId="77777777" w:rsidR="0027081E" w:rsidRPr="00C0592D" w:rsidRDefault="0027081E" w:rsidP="0027081E">
            <w:pPr>
              <w:jc w:val="center"/>
            </w:pPr>
          </w:p>
          <w:p w14:paraId="4E7B88CA" w14:textId="58729EDE" w:rsidR="00824412" w:rsidRPr="00C0592D" w:rsidRDefault="0027081E" w:rsidP="0027081E">
            <w:pPr>
              <w:jc w:val="both"/>
            </w:pPr>
            <w:r w:rsidRPr="00C0592D">
              <w:t xml:space="preserve">La demande d’autorisation d’appel de l’arrêt de la Cour d’appel du Québec (Montréal), numéro </w:t>
            </w:r>
            <w:r w:rsidR="007A66EF" w:rsidRPr="00C0592D">
              <w:t>500</w:t>
            </w:r>
            <w:r w:rsidR="003D441C" w:rsidRPr="00C0592D">
              <w:noBreakHyphen/>
            </w:r>
            <w:r w:rsidR="007A66EF" w:rsidRPr="00C0592D">
              <w:t>09</w:t>
            </w:r>
            <w:r w:rsidR="003D441C" w:rsidRPr="00C0592D">
              <w:noBreakHyphen/>
            </w:r>
            <w:r w:rsidR="007A66EF" w:rsidRPr="00C0592D">
              <w:t>026764</w:t>
            </w:r>
            <w:r w:rsidR="003D441C" w:rsidRPr="00C0592D">
              <w:noBreakHyphen/>
            </w:r>
            <w:r w:rsidR="007A66EF" w:rsidRPr="00C0592D">
              <w:t xml:space="preserve">175, </w:t>
            </w:r>
            <w:r w:rsidRPr="00C0592D">
              <w:t xml:space="preserve">2019 QCCA 794, daté du </w:t>
            </w:r>
            <w:r w:rsidR="00385CA4" w:rsidRPr="00C0592D">
              <w:t>7 mai</w:t>
            </w:r>
            <w:r w:rsidRPr="00C0592D">
              <w:t xml:space="preserve"> 2019, est </w:t>
            </w:r>
            <w:r w:rsidR="007A66EF" w:rsidRPr="00C0592D">
              <w:t xml:space="preserve">rejetée avec </w:t>
            </w:r>
            <w:r w:rsidRPr="00C0592D">
              <w:t>dépens.</w:t>
            </w:r>
            <w:r w:rsidR="003E7D3B" w:rsidRPr="00C0592D">
              <w:t xml:space="preserve"> La demande d’autorisation d’appel incident est rejetée.</w:t>
            </w:r>
            <w:r w:rsidR="00471DA6" w:rsidRPr="00C0592D">
              <w:t xml:space="preserve"> Comme la demande </w:t>
            </w:r>
            <w:r w:rsidR="004A3ED7" w:rsidRPr="00C0592D">
              <w:t xml:space="preserve">d’autorisation d’appel </w:t>
            </w:r>
            <w:r w:rsidR="00471DA6" w:rsidRPr="00C0592D">
              <w:t xml:space="preserve">est rejetée, il n’est pas nécessaire d’examiner </w:t>
            </w:r>
            <w:r w:rsidR="004A3ED7" w:rsidRPr="00C0592D">
              <w:t xml:space="preserve">la requête pour permission d’intervenir de </w:t>
            </w:r>
            <w:r w:rsidR="00C525EC" w:rsidRPr="00C0592D">
              <w:t xml:space="preserve">l’Union des </w:t>
            </w:r>
            <w:r w:rsidR="00C525EC" w:rsidRPr="00C0592D">
              <w:lastRenderedPageBreak/>
              <w:t>municipalités du Québec et la</w:t>
            </w:r>
            <w:r w:rsidR="00471DA6" w:rsidRPr="00C0592D">
              <w:t xml:space="preserve"> requête </w:t>
            </w:r>
            <w:r w:rsidR="00C525EC" w:rsidRPr="00C0592D">
              <w:t>visant à obtenir un</w:t>
            </w:r>
            <w:r w:rsidR="00471DA6" w:rsidRPr="00C0592D">
              <w:t xml:space="preserve"> sursis d’exécution</w:t>
            </w:r>
            <w:r w:rsidR="00C525EC" w:rsidRPr="00C0592D">
              <w:t>.</w:t>
            </w:r>
          </w:p>
          <w:p w14:paraId="3D70A816" w14:textId="77777777" w:rsidR="00B223A9" w:rsidRPr="00C0592D" w:rsidRDefault="00B223A9" w:rsidP="0027081E">
            <w:pPr>
              <w:jc w:val="both"/>
            </w:pPr>
          </w:p>
          <w:p w14:paraId="25ED2990" w14:textId="05213659" w:rsidR="00B223A9" w:rsidRPr="00C0592D" w:rsidRDefault="00B223A9" w:rsidP="0027081E">
            <w:pPr>
              <w:jc w:val="both"/>
            </w:pPr>
            <w:r w:rsidRPr="00C0592D">
              <w:t>Le juge Kasirer n’a pas participé au jugement.</w:t>
            </w:r>
          </w:p>
          <w:p w14:paraId="4E7B88CB" w14:textId="77777777" w:rsidR="00622562" w:rsidRPr="00C0592D" w:rsidRDefault="00622562" w:rsidP="0027081E">
            <w:pPr>
              <w:jc w:val="both"/>
            </w:pPr>
          </w:p>
          <w:p w14:paraId="4E7B88CC" w14:textId="77777777" w:rsidR="00622562" w:rsidRPr="00C0592D" w:rsidRDefault="00622562" w:rsidP="00D27D4E">
            <w:pPr>
              <w:jc w:val="both"/>
            </w:pPr>
          </w:p>
        </w:tc>
        <w:tc>
          <w:tcPr>
            <w:tcW w:w="374" w:type="pct"/>
          </w:tcPr>
          <w:p w14:paraId="4E7B88CD" w14:textId="77777777" w:rsidR="00824412" w:rsidRPr="00C0592D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4E7B88CE" w14:textId="77777777" w:rsidR="0027081E" w:rsidRPr="00C0592D" w:rsidRDefault="0027081E" w:rsidP="0027081E">
            <w:pPr>
              <w:jc w:val="center"/>
              <w:rPr>
                <w:lang w:val="en-CA"/>
              </w:rPr>
            </w:pPr>
            <w:r w:rsidRPr="00C0592D">
              <w:rPr>
                <w:lang w:val="en-CA"/>
              </w:rPr>
              <w:t>JUDGMENT</w:t>
            </w:r>
          </w:p>
          <w:p w14:paraId="4E7B88CF" w14:textId="77777777" w:rsidR="0027081E" w:rsidRPr="00C0592D" w:rsidRDefault="0027081E" w:rsidP="0027081E">
            <w:pPr>
              <w:jc w:val="center"/>
              <w:rPr>
                <w:lang w:val="en-CA"/>
              </w:rPr>
            </w:pPr>
          </w:p>
          <w:p w14:paraId="4E7B88D0" w14:textId="28A88718" w:rsidR="00824412" w:rsidRPr="00C0592D" w:rsidRDefault="0027081E" w:rsidP="006C1359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C0592D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C0592D">
              <w:rPr>
                <w:lang w:val="en-CA"/>
              </w:rPr>
              <w:t xml:space="preserve"> </w:t>
            </w:r>
            <w:r w:rsidRPr="00C0592D">
              <w:rPr>
                <w:lang w:val="en-US"/>
              </w:rPr>
              <w:t>Court of Appeal of Quebec (Montréal)</w:t>
            </w:r>
            <w:r w:rsidR="007A66EF" w:rsidRPr="00C0592D">
              <w:rPr>
                <w:lang w:val="en-CA"/>
              </w:rPr>
              <w:t>, Number</w:t>
            </w:r>
            <w:r w:rsidR="007A66EF" w:rsidRPr="00C0592D">
              <w:rPr>
                <w:lang w:val="en-US"/>
              </w:rPr>
              <w:t xml:space="preserve"> 500</w:t>
            </w:r>
            <w:r w:rsidR="003D441C" w:rsidRPr="00C0592D">
              <w:rPr>
                <w:lang w:val="en-US"/>
              </w:rPr>
              <w:noBreakHyphen/>
            </w:r>
            <w:r w:rsidR="007A66EF" w:rsidRPr="00C0592D">
              <w:rPr>
                <w:lang w:val="en-US"/>
              </w:rPr>
              <w:t>09</w:t>
            </w:r>
            <w:r w:rsidR="003D441C" w:rsidRPr="00C0592D">
              <w:rPr>
                <w:lang w:val="en-US"/>
              </w:rPr>
              <w:noBreakHyphen/>
            </w:r>
            <w:r w:rsidR="007A66EF" w:rsidRPr="00C0592D">
              <w:rPr>
                <w:lang w:val="en-US"/>
              </w:rPr>
              <w:t>026764</w:t>
            </w:r>
            <w:r w:rsidR="003D441C" w:rsidRPr="00C0592D">
              <w:rPr>
                <w:lang w:val="en-US"/>
              </w:rPr>
              <w:noBreakHyphen/>
            </w:r>
            <w:r w:rsidR="007A66EF" w:rsidRPr="00C0592D">
              <w:rPr>
                <w:lang w:val="en-US"/>
              </w:rPr>
              <w:t>175</w:t>
            </w:r>
            <w:r w:rsidR="007A66EF" w:rsidRPr="00C0592D">
              <w:rPr>
                <w:lang w:val="en-CA"/>
              </w:rPr>
              <w:t xml:space="preserve">, </w:t>
            </w:r>
            <w:r w:rsidRPr="00C0592D">
              <w:rPr>
                <w:lang w:val="en-US"/>
              </w:rPr>
              <w:t>2019 QCCA 794,</w:t>
            </w:r>
            <w:r w:rsidRPr="00C0592D">
              <w:rPr>
                <w:lang w:val="en-CA"/>
              </w:rPr>
              <w:t xml:space="preserve"> dated </w:t>
            </w:r>
            <w:r w:rsidR="00385CA4" w:rsidRPr="00C0592D">
              <w:rPr>
                <w:lang w:val="en-US"/>
              </w:rPr>
              <w:t>May 7</w:t>
            </w:r>
            <w:r w:rsidRPr="00C0592D">
              <w:rPr>
                <w:lang w:val="en-US"/>
              </w:rPr>
              <w:t>, 2019</w:t>
            </w:r>
            <w:r w:rsidR="007A66EF" w:rsidRPr="00C0592D">
              <w:rPr>
                <w:lang w:val="en-US"/>
              </w:rPr>
              <w:t>,</w:t>
            </w:r>
            <w:r w:rsidRPr="00C0592D">
              <w:rPr>
                <w:lang w:val="en-CA"/>
              </w:rPr>
              <w:t xml:space="preserve"> is</w:t>
            </w:r>
            <w:r w:rsidR="007A66EF" w:rsidRPr="00C0592D">
              <w:rPr>
                <w:lang w:val="en-CA"/>
              </w:rPr>
              <w:t xml:space="preserve"> dismissed with</w:t>
            </w:r>
            <w:r w:rsidRPr="00C0592D">
              <w:rPr>
                <w:lang w:val="en-CA"/>
              </w:rPr>
              <w:t xml:space="preserve"> costs</w:t>
            </w:r>
            <w:r w:rsidR="007A66EF" w:rsidRPr="00C0592D">
              <w:rPr>
                <w:lang w:val="en-CA"/>
              </w:rPr>
              <w:t>.</w:t>
            </w:r>
            <w:r w:rsidR="003E7D3B" w:rsidRPr="00C0592D">
              <w:rPr>
                <w:lang w:val="en-CA"/>
              </w:rPr>
              <w:t xml:space="preserve"> </w:t>
            </w:r>
            <w:r w:rsidR="003E7D3B" w:rsidRPr="00C0592D">
              <w:rPr>
                <w:lang w:val="en-US"/>
              </w:rPr>
              <w:t>The application for leave to cross-appeal is dismissed</w:t>
            </w:r>
            <w:r w:rsidR="003E7D3B" w:rsidRPr="00C0592D">
              <w:rPr>
                <w:rFonts w:cs="Times New Roman"/>
                <w:szCs w:val="24"/>
                <w:lang w:val="en-US"/>
              </w:rPr>
              <w:t>.</w:t>
            </w:r>
            <w:r w:rsidR="00471DA6" w:rsidRPr="00C0592D">
              <w:rPr>
                <w:rFonts w:cs="Times New Roman"/>
                <w:szCs w:val="24"/>
                <w:lang w:val="en-US"/>
              </w:rPr>
              <w:t xml:space="preserve"> Since the application </w:t>
            </w:r>
            <w:r w:rsidR="004A3ED7" w:rsidRPr="00C0592D">
              <w:rPr>
                <w:rFonts w:cs="Times New Roman"/>
                <w:szCs w:val="24"/>
                <w:lang w:val="en-US"/>
              </w:rPr>
              <w:t xml:space="preserve">for leave to appeal </w:t>
            </w:r>
            <w:r w:rsidR="00471DA6" w:rsidRPr="00C0592D">
              <w:rPr>
                <w:rFonts w:cs="Times New Roman"/>
                <w:szCs w:val="24"/>
                <w:lang w:val="en-US"/>
              </w:rPr>
              <w:t>is dismissed, it is not necessary to consider the motion for</w:t>
            </w:r>
            <w:r w:rsidR="004A3ED7" w:rsidRPr="00C0592D">
              <w:rPr>
                <w:rFonts w:cs="Times New Roman"/>
                <w:szCs w:val="24"/>
                <w:lang w:val="en-US"/>
              </w:rPr>
              <w:t xml:space="preserve"> leave to intervene by </w:t>
            </w:r>
            <w:r w:rsidR="00C525EC" w:rsidRPr="00C0592D">
              <w:rPr>
                <w:rFonts w:cs="Times New Roman"/>
                <w:szCs w:val="24"/>
                <w:lang w:val="en-US"/>
              </w:rPr>
              <w:t xml:space="preserve">Union des </w:t>
            </w:r>
            <w:r w:rsidR="00C525EC" w:rsidRPr="00C0592D">
              <w:rPr>
                <w:rFonts w:cs="Times New Roman"/>
                <w:szCs w:val="24"/>
                <w:lang w:val="en-US"/>
              </w:rPr>
              <w:lastRenderedPageBreak/>
              <w:t xml:space="preserve">municipalités du Québec </w:t>
            </w:r>
            <w:r w:rsidR="004A3ED7" w:rsidRPr="00C0592D">
              <w:rPr>
                <w:rFonts w:cs="Times New Roman"/>
                <w:szCs w:val="24"/>
                <w:lang w:val="en-US"/>
              </w:rPr>
              <w:t>and the motion for</w:t>
            </w:r>
            <w:r w:rsidR="00471DA6" w:rsidRPr="00C0592D">
              <w:rPr>
                <w:rFonts w:cs="Times New Roman"/>
                <w:szCs w:val="24"/>
                <w:lang w:val="en-US"/>
              </w:rPr>
              <w:t xml:space="preserve"> a stay of execution</w:t>
            </w:r>
            <w:r w:rsidR="004A3ED7" w:rsidRPr="00C0592D">
              <w:rPr>
                <w:rFonts w:cs="Times New Roman"/>
                <w:szCs w:val="24"/>
                <w:lang w:val="en-US"/>
              </w:rPr>
              <w:t>.</w:t>
            </w:r>
          </w:p>
          <w:p w14:paraId="4E7B88D1" w14:textId="77777777" w:rsidR="00622562" w:rsidRPr="00C0592D" w:rsidRDefault="00622562" w:rsidP="006C1359">
            <w:pPr>
              <w:jc w:val="both"/>
              <w:rPr>
                <w:lang w:val="en-CA"/>
              </w:rPr>
            </w:pPr>
          </w:p>
          <w:p w14:paraId="4E7B88D2" w14:textId="5C63A326" w:rsidR="00622562" w:rsidRPr="00C0592D" w:rsidRDefault="00B223A9" w:rsidP="006C1359">
            <w:pPr>
              <w:jc w:val="both"/>
              <w:rPr>
                <w:lang w:val="en-US"/>
              </w:rPr>
            </w:pPr>
            <w:r w:rsidRPr="00C0592D">
              <w:rPr>
                <w:lang w:val="en-US"/>
              </w:rPr>
              <w:t>Kasirer J. took no part in the judgment.</w:t>
            </w:r>
          </w:p>
        </w:tc>
      </w:tr>
    </w:tbl>
    <w:p w14:paraId="4E7B88D4" w14:textId="77777777" w:rsidR="009F436C" w:rsidRPr="00C0592D" w:rsidRDefault="009F436C" w:rsidP="00382FEC">
      <w:pPr>
        <w:rPr>
          <w:lang w:val="en-US"/>
        </w:rPr>
      </w:pPr>
    </w:p>
    <w:p w14:paraId="4E7B88D5" w14:textId="77777777" w:rsidR="009F436C" w:rsidRPr="00C0592D" w:rsidRDefault="009F436C" w:rsidP="00417FB7">
      <w:pPr>
        <w:jc w:val="center"/>
        <w:rPr>
          <w:lang w:val="en-US"/>
        </w:rPr>
      </w:pPr>
    </w:p>
    <w:p w14:paraId="4E7B88D6" w14:textId="77777777" w:rsidR="00655333" w:rsidRPr="00C0592D" w:rsidRDefault="00655333" w:rsidP="00655333">
      <w:pPr>
        <w:jc w:val="center"/>
        <w:rPr>
          <w:lang w:val="en-US"/>
        </w:rPr>
      </w:pPr>
    </w:p>
    <w:p w14:paraId="4E7B88D7" w14:textId="77777777" w:rsidR="007A66EF" w:rsidRPr="00C0592D" w:rsidRDefault="007A66EF" w:rsidP="00655333">
      <w:pPr>
        <w:jc w:val="center"/>
        <w:rPr>
          <w:lang w:val="en-US"/>
        </w:rPr>
      </w:pPr>
    </w:p>
    <w:p w14:paraId="4E7B88D8" w14:textId="77777777" w:rsidR="007A66EF" w:rsidRPr="00C0592D" w:rsidRDefault="007A66EF" w:rsidP="00655333">
      <w:pPr>
        <w:jc w:val="center"/>
        <w:rPr>
          <w:lang w:val="en-US"/>
        </w:rPr>
      </w:pPr>
    </w:p>
    <w:p w14:paraId="4E7B88D9" w14:textId="77777777" w:rsidR="007A66EF" w:rsidRPr="00C0592D" w:rsidRDefault="007A66EF" w:rsidP="00655333">
      <w:pPr>
        <w:jc w:val="center"/>
        <w:rPr>
          <w:lang w:val="en-US"/>
        </w:rPr>
      </w:pPr>
    </w:p>
    <w:p w14:paraId="4E7B88DA" w14:textId="77777777" w:rsidR="00655333" w:rsidRPr="00C0592D" w:rsidRDefault="00655333" w:rsidP="00655333">
      <w:pPr>
        <w:jc w:val="center"/>
        <w:rPr>
          <w:lang w:val="en-US"/>
        </w:rPr>
      </w:pPr>
      <w:r w:rsidRPr="00C0592D">
        <w:rPr>
          <w:lang w:val="en-US"/>
        </w:rPr>
        <w:t>J.C.S.C.</w:t>
      </w:r>
    </w:p>
    <w:p w14:paraId="4E7B88DB" w14:textId="77777777" w:rsidR="00401B64" w:rsidRPr="00EF4EF2" w:rsidRDefault="00655333" w:rsidP="007A66EF">
      <w:pPr>
        <w:jc w:val="center"/>
        <w:rPr>
          <w:lang w:val="en-US"/>
        </w:rPr>
      </w:pPr>
      <w:r w:rsidRPr="00C0592D">
        <w:rPr>
          <w:lang w:val="en-US"/>
        </w:rPr>
        <w:t>J.S.C.C.</w:t>
      </w:r>
    </w:p>
    <w:p w14:paraId="4E7B88DC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C0592D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B88DF" w14:textId="77777777" w:rsidR="00D27D4E" w:rsidRDefault="00D27D4E">
      <w:r>
        <w:separator/>
      </w:r>
    </w:p>
  </w:endnote>
  <w:endnote w:type="continuationSeparator" w:id="0">
    <w:p w14:paraId="4E7B88E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88DD" w14:textId="77777777" w:rsidR="00D27D4E" w:rsidRDefault="00D27D4E">
      <w:r>
        <w:separator/>
      </w:r>
    </w:p>
  </w:footnote>
  <w:footnote w:type="continuationSeparator" w:id="0">
    <w:p w14:paraId="4E7B88D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88E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D0EA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7B88E2" w14:textId="77777777" w:rsidR="00401B64" w:rsidRDefault="00401B64" w:rsidP="00401B64">
    <w:pPr>
      <w:rPr>
        <w:szCs w:val="24"/>
      </w:rPr>
    </w:pPr>
  </w:p>
  <w:p w14:paraId="4E7B88E3" w14:textId="77777777" w:rsidR="00401B64" w:rsidRDefault="00401B64" w:rsidP="00401B64">
    <w:pPr>
      <w:rPr>
        <w:szCs w:val="24"/>
      </w:rPr>
    </w:pPr>
  </w:p>
  <w:p w14:paraId="4E7B88E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38759</w:t>
    </w:r>
    <w:r w:rsidR="00401B64">
      <w:rPr>
        <w:szCs w:val="24"/>
      </w:rPr>
      <w:t>     </w:t>
    </w:r>
  </w:p>
  <w:p w14:paraId="4E7B88E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728475"/>
      <w:lock w:val="sdtContentLocked"/>
      <w:showingPlcHdr/>
      <w:text/>
    </w:sdtPr>
    <w:sdtEndPr/>
    <w:sdtContent>
      <w:p w14:paraId="4E7B88E6" w14:textId="77777777" w:rsidR="000452C9" w:rsidRDefault="000452C9" w:rsidP="000452C9"/>
      <w:p w14:paraId="4E7B88E7" w14:textId="77777777" w:rsidR="000452C9" w:rsidRPr="001E26DB" w:rsidRDefault="000452C9" w:rsidP="000452C9"/>
      <w:p w14:paraId="4E7B88E8" w14:textId="77777777" w:rsidR="000452C9" w:rsidRPr="001E26DB" w:rsidRDefault="000452C9" w:rsidP="000452C9"/>
      <w:p w14:paraId="4E7B88E9" w14:textId="77777777" w:rsidR="000452C9" w:rsidRDefault="000452C9" w:rsidP="000452C9"/>
      <w:p w14:paraId="4E7B88EA" w14:textId="77777777" w:rsidR="000452C9" w:rsidRDefault="000452C9" w:rsidP="000452C9"/>
      <w:p w14:paraId="4E7B88EB" w14:textId="77777777" w:rsidR="000452C9" w:rsidRDefault="000452C9" w:rsidP="000452C9"/>
      <w:p w14:paraId="4E7B88EC" w14:textId="77777777" w:rsidR="000452C9" w:rsidRDefault="000452C9" w:rsidP="000452C9"/>
      <w:p w14:paraId="4E7B88ED" w14:textId="77777777" w:rsidR="000452C9" w:rsidRPr="001E26DB" w:rsidRDefault="000452C9" w:rsidP="000452C9"/>
      <w:p w14:paraId="4E7B88EE" w14:textId="77777777" w:rsidR="000452C9" w:rsidRPr="001E26DB" w:rsidRDefault="000452C9" w:rsidP="000452C9"/>
      <w:p w14:paraId="4E7B88EF" w14:textId="77777777" w:rsidR="000452C9" w:rsidRDefault="000452C9" w:rsidP="000452C9">
        <w:pPr>
          <w:pStyle w:val="Header"/>
        </w:pPr>
      </w:p>
      <w:p w14:paraId="4E7B88F0" w14:textId="77777777" w:rsidR="001D6D96" w:rsidRPr="000452C9" w:rsidRDefault="000D0EA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3740C"/>
    <w:rsid w:val="0004338D"/>
    <w:rsid w:val="000452C9"/>
    <w:rsid w:val="00057FAF"/>
    <w:rsid w:val="00061CAE"/>
    <w:rsid w:val="0006409D"/>
    <w:rsid w:val="000919B4"/>
    <w:rsid w:val="000978C2"/>
    <w:rsid w:val="000B76FF"/>
    <w:rsid w:val="000D0EAF"/>
    <w:rsid w:val="000D7521"/>
    <w:rsid w:val="000E4CCE"/>
    <w:rsid w:val="000F44E1"/>
    <w:rsid w:val="00130C0B"/>
    <w:rsid w:val="00166E32"/>
    <w:rsid w:val="0019299E"/>
    <w:rsid w:val="001947C4"/>
    <w:rsid w:val="00195E00"/>
    <w:rsid w:val="001A1CE1"/>
    <w:rsid w:val="001B2B7F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5CA4"/>
    <w:rsid w:val="003A37CF"/>
    <w:rsid w:val="003B1F3D"/>
    <w:rsid w:val="003B7760"/>
    <w:rsid w:val="003C744C"/>
    <w:rsid w:val="003D441C"/>
    <w:rsid w:val="003D7CE6"/>
    <w:rsid w:val="003E7D3B"/>
    <w:rsid w:val="00400FDB"/>
    <w:rsid w:val="00401B64"/>
    <w:rsid w:val="00414694"/>
    <w:rsid w:val="00415520"/>
    <w:rsid w:val="0041775C"/>
    <w:rsid w:val="00417FB7"/>
    <w:rsid w:val="00430004"/>
    <w:rsid w:val="004502CD"/>
    <w:rsid w:val="00470A64"/>
    <w:rsid w:val="00471DA6"/>
    <w:rsid w:val="00474535"/>
    <w:rsid w:val="00491976"/>
    <w:rsid w:val="004943CF"/>
    <w:rsid w:val="004956DA"/>
    <w:rsid w:val="004A3ED7"/>
    <w:rsid w:val="004F63BA"/>
    <w:rsid w:val="004F71A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A66EF"/>
    <w:rsid w:val="007B340F"/>
    <w:rsid w:val="007F41D5"/>
    <w:rsid w:val="00816B78"/>
    <w:rsid w:val="00823BF1"/>
    <w:rsid w:val="00824412"/>
    <w:rsid w:val="008262A3"/>
    <w:rsid w:val="00830BBE"/>
    <w:rsid w:val="0086042A"/>
    <w:rsid w:val="00866C25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376D"/>
    <w:rsid w:val="00AB5E22"/>
    <w:rsid w:val="00AE2077"/>
    <w:rsid w:val="00AF1D29"/>
    <w:rsid w:val="00B223A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592D"/>
    <w:rsid w:val="00C2612E"/>
    <w:rsid w:val="00C525EC"/>
    <w:rsid w:val="00C609B7"/>
    <w:rsid w:val="00CF2E5D"/>
    <w:rsid w:val="00D047BE"/>
    <w:rsid w:val="00D13C3B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6DCD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7B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9DEAE57-E824-45A1-BDBD-29EC386F2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3D787-AF62-4A8A-A014-30A9B06A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2DC43-088D-42E6-B6C8-E424E5F195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2020-02-19T15:00:00Z</dcterms:created>
  <dcterms:modified xsi:type="dcterms:W3CDTF">2020-02-19T15:00:00Z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