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CE827" w14:textId="77777777" w:rsidR="009F436C" w:rsidRPr="00400576" w:rsidRDefault="003A37CF" w:rsidP="00AE2077">
      <w:pPr>
        <w:jc w:val="right"/>
      </w:pPr>
      <w:bookmarkStart w:id="0" w:name="_GoBack"/>
      <w:bookmarkEnd w:id="0"/>
      <w:r w:rsidRPr="00400576">
        <w:t>No. 38897</w:t>
      </w:r>
      <w:r w:rsidR="0016666F" w:rsidRPr="00400576">
        <w:t>     </w:t>
      </w:r>
    </w:p>
    <w:p w14:paraId="55FCE828" w14:textId="77777777" w:rsidR="009F436C" w:rsidRPr="00400576" w:rsidRDefault="009F436C" w:rsidP="00382FEC"/>
    <w:p w14:paraId="55FCE829" w14:textId="77777777" w:rsidR="002568D3" w:rsidRPr="00400576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400576" w14:paraId="55FCE82D" w14:textId="77777777" w:rsidTr="00C173B0">
        <w:tc>
          <w:tcPr>
            <w:tcW w:w="2269" w:type="pct"/>
          </w:tcPr>
          <w:p w14:paraId="55FCE82A" w14:textId="77777777" w:rsidR="00417FB7" w:rsidRPr="00400576" w:rsidRDefault="00543EDD" w:rsidP="00447CFA">
            <w:r w:rsidRPr="00400576">
              <w:t xml:space="preserve">February </w:t>
            </w:r>
            <w:r w:rsidR="00447CFA" w:rsidRPr="00400576">
              <w:t>20</w:t>
            </w:r>
            <w:r w:rsidRPr="00400576">
              <w:t>, 2020</w:t>
            </w:r>
          </w:p>
        </w:tc>
        <w:tc>
          <w:tcPr>
            <w:tcW w:w="381" w:type="pct"/>
          </w:tcPr>
          <w:p w14:paraId="55FCE82B" w14:textId="77777777" w:rsidR="00417FB7" w:rsidRPr="00400576" w:rsidRDefault="00417FB7" w:rsidP="00382FEC"/>
        </w:tc>
        <w:tc>
          <w:tcPr>
            <w:tcW w:w="2350" w:type="pct"/>
          </w:tcPr>
          <w:p w14:paraId="55FCE82C" w14:textId="77777777" w:rsidR="00417FB7" w:rsidRPr="00400576" w:rsidRDefault="00543EDD" w:rsidP="00447CFA">
            <w:pPr>
              <w:rPr>
                <w:lang w:val="en-US"/>
              </w:rPr>
            </w:pPr>
            <w:r w:rsidRPr="00400576">
              <w:t xml:space="preserve">Le </w:t>
            </w:r>
            <w:r w:rsidR="00447CFA" w:rsidRPr="00400576">
              <w:t>20</w:t>
            </w:r>
            <w:r w:rsidRPr="00400576">
              <w:t xml:space="preserve"> février 2020</w:t>
            </w:r>
          </w:p>
        </w:tc>
      </w:tr>
      <w:tr w:rsidR="00E12A51" w:rsidRPr="00400576" w14:paraId="55FCE83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FCE82E" w14:textId="77777777" w:rsidR="00C2612E" w:rsidRPr="00400576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FCE82F" w14:textId="77777777" w:rsidR="00E12A51" w:rsidRPr="00400576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FCE830" w14:textId="77777777" w:rsidR="00E12A51" w:rsidRPr="00400576" w:rsidRDefault="00E12A51" w:rsidP="00816B78">
            <w:pPr>
              <w:rPr>
                <w:lang w:val="en-US"/>
              </w:rPr>
            </w:pPr>
          </w:p>
        </w:tc>
      </w:tr>
      <w:tr w:rsidR="00824412" w:rsidRPr="00400576" w14:paraId="55FCE83F" w14:textId="77777777" w:rsidTr="00C173B0">
        <w:tc>
          <w:tcPr>
            <w:tcW w:w="2269" w:type="pct"/>
          </w:tcPr>
          <w:p w14:paraId="55FCE832" w14:textId="77777777" w:rsidR="00763EF6" w:rsidRPr="00400576" w:rsidRDefault="003A7BF5">
            <w:pPr>
              <w:pStyle w:val="SCCLsocPrefix"/>
            </w:pPr>
            <w:r w:rsidRPr="00400576">
              <w:t>BETWEEN:</w:t>
            </w:r>
            <w:r w:rsidRPr="00400576">
              <w:br/>
            </w:r>
          </w:p>
          <w:p w14:paraId="55FCE833" w14:textId="77777777" w:rsidR="00763EF6" w:rsidRPr="00400576" w:rsidRDefault="003A7BF5">
            <w:pPr>
              <w:pStyle w:val="SCCLsocParty"/>
            </w:pPr>
            <w:r w:rsidRPr="00400576">
              <w:t>Robert Weidenfeld</w:t>
            </w:r>
            <w:r w:rsidRPr="00400576">
              <w:br/>
            </w:r>
          </w:p>
          <w:p w14:paraId="55FCE834" w14:textId="77777777" w:rsidR="00763EF6" w:rsidRPr="00400576" w:rsidRDefault="003A7BF5">
            <w:pPr>
              <w:pStyle w:val="SCCLsocPartyRole"/>
            </w:pPr>
            <w:r w:rsidRPr="00400576">
              <w:t>Applicant</w:t>
            </w:r>
            <w:r w:rsidRPr="00400576">
              <w:br/>
            </w:r>
          </w:p>
          <w:p w14:paraId="55FCE835" w14:textId="77777777" w:rsidR="00763EF6" w:rsidRPr="00400576" w:rsidRDefault="003A7BF5">
            <w:pPr>
              <w:pStyle w:val="SCCLsocVersus"/>
            </w:pPr>
            <w:r w:rsidRPr="00400576">
              <w:t>- and -</w:t>
            </w:r>
            <w:r w:rsidRPr="00400576">
              <w:br/>
            </w:r>
          </w:p>
          <w:p w14:paraId="55FCE836" w14:textId="405AEC85" w:rsidR="00763EF6" w:rsidRPr="00400576" w:rsidRDefault="003A7BF5">
            <w:pPr>
              <w:pStyle w:val="SCCLsocParty"/>
            </w:pPr>
            <w:r w:rsidRPr="00400576">
              <w:t>Sejal Parikh-Shah as Executrix of the Will and Trustee of the Estate of Hana Weidenfeld, Deceased, Nathalie Weidenfeld, Joel Weidenfeld, Robert Andrew Leck</w:t>
            </w:r>
            <w:r w:rsidR="00FA0F5A" w:rsidRPr="00400576">
              <w:t xml:space="preserve"> and</w:t>
            </w:r>
            <w:r w:rsidRPr="00400576">
              <w:t xml:space="preserve"> Stiver Vale (Law Firm)</w:t>
            </w:r>
            <w:r w:rsidRPr="00400576">
              <w:br/>
            </w:r>
          </w:p>
          <w:p w14:paraId="51AC7F31" w14:textId="77777777" w:rsidR="00FA0F5A" w:rsidRPr="00400576" w:rsidRDefault="00FA0F5A">
            <w:pPr>
              <w:pStyle w:val="SCCLsocPartyRole"/>
            </w:pPr>
          </w:p>
          <w:p w14:paraId="55FCE837" w14:textId="77777777" w:rsidR="00763EF6" w:rsidRPr="00400576" w:rsidRDefault="003A7BF5">
            <w:pPr>
              <w:pStyle w:val="SCCLsocPartyRole"/>
            </w:pPr>
            <w:r w:rsidRPr="00400576">
              <w:t>Respondents</w:t>
            </w:r>
          </w:p>
        </w:tc>
        <w:tc>
          <w:tcPr>
            <w:tcW w:w="381" w:type="pct"/>
          </w:tcPr>
          <w:p w14:paraId="55FCE838" w14:textId="77777777" w:rsidR="00824412" w:rsidRPr="00400576" w:rsidRDefault="00824412" w:rsidP="00375294"/>
        </w:tc>
        <w:tc>
          <w:tcPr>
            <w:tcW w:w="2350" w:type="pct"/>
          </w:tcPr>
          <w:p w14:paraId="55FCE839" w14:textId="77777777" w:rsidR="00763EF6" w:rsidRPr="00400576" w:rsidRDefault="003A7BF5">
            <w:pPr>
              <w:pStyle w:val="SCCLsocPrefix"/>
              <w:rPr>
                <w:lang w:val="fr-CA"/>
              </w:rPr>
            </w:pPr>
            <w:r w:rsidRPr="00400576">
              <w:rPr>
                <w:lang w:val="fr-CA"/>
              </w:rPr>
              <w:t>ENTRE :</w:t>
            </w:r>
            <w:r w:rsidRPr="00400576">
              <w:rPr>
                <w:lang w:val="fr-CA"/>
              </w:rPr>
              <w:br/>
            </w:r>
          </w:p>
          <w:p w14:paraId="55FCE83A" w14:textId="77777777" w:rsidR="00763EF6" w:rsidRPr="00400576" w:rsidRDefault="003A7BF5">
            <w:pPr>
              <w:pStyle w:val="SCCLsocParty"/>
              <w:rPr>
                <w:lang w:val="fr-CA"/>
              </w:rPr>
            </w:pPr>
            <w:r w:rsidRPr="00400576">
              <w:rPr>
                <w:lang w:val="fr-CA"/>
              </w:rPr>
              <w:t>Robert Weidenfeld</w:t>
            </w:r>
            <w:r w:rsidRPr="00400576">
              <w:rPr>
                <w:lang w:val="fr-CA"/>
              </w:rPr>
              <w:br/>
            </w:r>
          </w:p>
          <w:p w14:paraId="55FCE83B" w14:textId="77777777" w:rsidR="00763EF6" w:rsidRPr="00400576" w:rsidRDefault="003A7BF5">
            <w:pPr>
              <w:pStyle w:val="SCCLsocPartyRole"/>
              <w:rPr>
                <w:lang w:val="fr-CA"/>
              </w:rPr>
            </w:pPr>
            <w:r w:rsidRPr="00400576">
              <w:rPr>
                <w:lang w:val="fr-CA"/>
              </w:rPr>
              <w:t>Demandeur</w:t>
            </w:r>
            <w:r w:rsidRPr="00400576">
              <w:rPr>
                <w:lang w:val="fr-CA"/>
              </w:rPr>
              <w:br/>
            </w:r>
          </w:p>
          <w:p w14:paraId="55FCE83C" w14:textId="77777777" w:rsidR="00763EF6" w:rsidRPr="00400576" w:rsidRDefault="003A7BF5">
            <w:pPr>
              <w:pStyle w:val="SCCLsocVersus"/>
              <w:rPr>
                <w:lang w:val="fr-CA"/>
              </w:rPr>
            </w:pPr>
            <w:r w:rsidRPr="00400576">
              <w:rPr>
                <w:lang w:val="fr-CA"/>
              </w:rPr>
              <w:t>- et -</w:t>
            </w:r>
            <w:r w:rsidRPr="00400576">
              <w:rPr>
                <w:lang w:val="fr-CA"/>
              </w:rPr>
              <w:br/>
            </w:r>
          </w:p>
          <w:p w14:paraId="55FCE83D" w14:textId="60B063C9" w:rsidR="00763EF6" w:rsidRPr="00400576" w:rsidRDefault="00196E9C">
            <w:pPr>
              <w:pStyle w:val="SCCLsocParty"/>
              <w:rPr>
                <w:lang w:val="fr-CA"/>
              </w:rPr>
            </w:pPr>
            <w:r w:rsidRPr="00400576">
              <w:rPr>
                <w:szCs w:val="24"/>
                <w:lang w:val="fr-CA"/>
              </w:rPr>
              <w:t>Sejal Parikh-Shah</w:t>
            </w:r>
            <w:r w:rsidR="00125A9F" w:rsidRPr="00400576">
              <w:rPr>
                <w:szCs w:val="24"/>
                <w:lang w:val="fr-CA"/>
              </w:rPr>
              <w:t>, en sa qualité d’exécutrice testamentaire et de fiduciaire de la succession de Hana Weidenfeld, décédée</w:t>
            </w:r>
            <w:r w:rsidRPr="00400576">
              <w:rPr>
                <w:szCs w:val="24"/>
                <w:lang w:val="fr-CA"/>
              </w:rPr>
              <w:t>, Nathalie Weidenfeld, Joel Weidenfeld, Robert Andrew Leck</w:t>
            </w:r>
            <w:r w:rsidR="00FA0F5A" w:rsidRPr="00400576">
              <w:rPr>
                <w:szCs w:val="24"/>
                <w:lang w:val="fr-CA"/>
              </w:rPr>
              <w:t xml:space="preserve"> et</w:t>
            </w:r>
            <w:r w:rsidRPr="00400576">
              <w:rPr>
                <w:szCs w:val="24"/>
                <w:lang w:val="fr-CA"/>
              </w:rPr>
              <w:t xml:space="preserve"> Stiver Vale (</w:t>
            </w:r>
            <w:r w:rsidR="00FA0F5A" w:rsidRPr="00400576">
              <w:rPr>
                <w:szCs w:val="24"/>
                <w:lang w:val="fr-CA"/>
              </w:rPr>
              <w:t>cabinet d’avocats</w:t>
            </w:r>
            <w:r w:rsidRPr="00400576">
              <w:rPr>
                <w:szCs w:val="24"/>
                <w:lang w:val="fr-CA"/>
              </w:rPr>
              <w:t>)</w:t>
            </w:r>
            <w:r w:rsidR="003A7BF5" w:rsidRPr="00400576">
              <w:rPr>
                <w:lang w:val="fr-CA"/>
              </w:rPr>
              <w:br/>
            </w:r>
          </w:p>
          <w:p w14:paraId="55FCE83E" w14:textId="77777777" w:rsidR="00763EF6" w:rsidRPr="00400576" w:rsidRDefault="003A7BF5" w:rsidP="00447CFA">
            <w:pPr>
              <w:pStyle w:val="SCCLsocPartyRole"/>
            </w:pPr>
            <w:r w:rsidRPr="00400576">
              <w:t>Intimés</w:t>
            </w:r>
          </w:p>
        </w:tc>
      </w:tr>
      <w:tr w:rsidR="00824412" w:rsidRPr="00400576" w14:paraId="55FCE84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FCE840" w14:textId="77777777" w:rsidR="00824412" w:rsidRPr="00400576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FCE841" w14:textId="77777777" w:rsidR="00824412" w:rsidRPr="00400576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FCE842" w14:textId="77777777" w:rsidR="00824412" w:rsidRPr="00400576" w:rsidRDefault="00824412" w:rsidP="00B408F8">
            <w:pPr>
              <w:rPr>
                <w:lang w:val="en-US"/>
              </w:rPr>
            </w:pPr>
          </w:p>
        </w:tc>
      </w:tr>
      <w:tr w:rsidR="00824412" w:rsidRPr="00400576" w14:paraId="55FCE84D" w14:textId="77777777" w:rsidTr="00C173B0">
        <w:tc>
          <w:tcPr>
            <w:tcW w:w="2269" w:type="pct"/>
          </w:tcPr>
          <w:p w14:paraId="55FCE844" w14:textId="77777777" w:rsidR="00824412" w:rsidRPr="00400576" w:rsidRDefault="00824412" w:rsidP="00C2612E">
            <w:pPr>
              <w:jc w:val="center"/>
            </w:pPr>
            <w:r w:rsidRPr="00400576">
              <w:t>JUDGMENT</w:t>
            </w:r>
          </w:p>
          <w:p w14:paraId="55FCE845" w14:textId="77777777" w:rsidR="00824412" w:rsidRPr="00400576" w:rsidRDefault="00824412" w:rsidP="00417FB7">
            <w:pPr>
              <w:jc w:val="center"/>
            </w:pPr>
          </w:p>
          <w:p w14:paraId="55FCE848" w14:textId="5D1466BC" w:rsidR="003F6511" w:rsidRPr="00400576" w:rsidRDefault="00D81D25" w:rsidP="00011960">
            <w:pPr>
              <w:jc w:val="both"/>
            </w:pPr>
            <w:r w:rsidRPr="00400576">
              <w:t xml:space="preserve">The motion for a </w:t>
            </w:r>
            <w:r w:rsidRPr="00400576">
              <w:rPr>
                <w:rStyle w:val="solexhl"/>
              </w:rPr>
              <w:t>stay</w:t>
            </w:r>
            <w:r w:rsidRPr="00400576">
              <w:t xml:space="preserve"> </w:t>
            </w:r>
            <w:r w:rsidRPr="00400576">
              <w:rPr>
                <w:rStyle w:val="solexhl"/>
              </w:rPr>
              <w:t>of</w:t>
            </w:r>
            <w:r w:rsidRPr="00400576">
              <w:t xml:space="preserve"> </w:t>
            </w:r>
            <w:r w:rsidRPr="00400576">
              <w:rPr>
                <w:rStyle w:val="solexhl"/>
              </w:rPr>
              <w:t>execution</w:t>
            </w:r>
            <w:r w:rsidRPr="00400576">
              <w:t xml:space="preserve"> is dismissed. </w:t>
            </w:r>
            <w:r w:rsidR="00824412" w:rsidRPr="00400576">
              <w:t>The app</w:t>
            </w:r>
            <w:r w:rsidR="00011960" w:rsidRPr="00400576">
              <w:t>lication for leave to appeal from the judgment of the</w:t>
            </w:r>
            <w:bookmarkStart w:id="1" w:name="BM_1_"/>
            <w:bookmarkEnd w:id="1"/>
            <w:r w:rsidR="00824412" w:rsidRPr="00400576">
              <w:t xml:space="preserve"> Court of Appeal for Ontario, Number M50141, dated May 13, 2019</w:t>
            </w:r>
            <w:r w:rsidR="00447CFA" w:rsidRPr="00400576">
              <w:t>,</w:t>
            </w:r>
            <w:r w:rsidR="003A7BF5" w:rsidRPr="00400576">
              <w:t xml:space="preserve"> is dismissed with costs in accordance with the tariff of fees and disbursements set out in Schedule B of the </w:t>
            </w:r>
            <w:r w:rsidR="00196E9C" w:rsidRPr="00400576">
              <w:rPr>
                <w:i/>
              </w:rPr>
              <w:t xml:space="preserve">Rules of the </w:t>
            </w:r>
            <w:r w:rsidR="003A7BF5" w:rsidRPr="00400576">
              <w:rPr>
                <w:i/>
              </w:rPr>
              <w:t>Supreme Court of Canada</w:t>
            </w:r>
            <w:r w:rsidR="003A7BF5" w:rsidRPr="00400576">
              <w:t>.</w:t>
            </w:r>
          </w:p>
        </w:tc>
        <w:tc>
          <w:tcPr>
            <w:tcW w:w="381" w:type="pct"/>
          </w:tcPr>
          <w:p w14:paraId="55FCE849" w14:textId="77777777" w:rsidR="00824412" w:rsidRPr="00400576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5FCE84A" w14:textId="77777777" w:rsidR="00824412" w:rsidRPr="00400576" w:rsidRDefault="00824412" w:rsidP="00C2612E">
            <w:pPr>
              <w:jc w:val="center"/>
              <w:rPr>
                <w:lang w:val="fr-CA"/>
              </w:rPr>
            </w:pPr>
            <w:r w:rsidRPr="00400576">
              <w:rPr>
                <w:lang w:val="fr-CA"/>
              </w:rPr>
              <w:t>JUGEMENT</w:t>
            </w:r>
          </w:p>
          <w:p w14:paraId="55FCE84B" w14:textId="77777777" w:rsidR="00824412" w:rsidRPr="00400576" w:rsidRDefault="00824412" w:rsidP="00417FB7">
            <w:pPr>
              <w:jc w:val="center"/>
              <w:rPr>
                <w:lang w:val="fr-CA"/>
              </w:rPr>
            </w:pPr>
          </w:p>
          <w:p w14:paraId="55FCE84C" w14:textId="72B63421" w:rsidR="003F6511" w:rsidRPr="00400576" w:rsidRDefault="003A7BF5" w:rsidP="00196E9C">
            <w:pPr>
              <w:jc w:val="both"/>
              <w:rPr>
                <w:lang w:val="fr-CA"/>
              </w:rPr>
            </w:pPr>
            <w:r w:rsidRPr="00400576">
              <w:rPr>
                <w:lang w:val="fr-CA"/>
              </w:rPr>
              <w:t xml:space="preserve">La requête </w:t>
            </w:r>
            <w:r w:rsidR="00196E9C" w:rsidRPr="00400576">
              <w:rPr>
                <w:lang w:val="fr-CA"/>
              </w:rPr>
              <w:t xml:space="preserve">visant à obtenir un </w:t>
            </w:r>
            <w:r w:rsidRPr="00400576">
              <w:rPr>
                <w:lang w:val="fr-CA"/>
              </w:rPr>
              <w:t>sursis d’</w:t>
            </w:r>
            <w:r w:rsidRPr="00400576">
              <w:rPr>
                <w:rStyle w:val="solexhl"/>
                <w:lang w:val="fr-CA"/>
              </w:rPr>
              <w:t>exécution</w:t>
            </w:r>
            <w:r w:rsidRPr="00400576">
              <w:rPr>
                <w:lang w:val="fr-CA"/>
              </w:rPr>
              <w:t xml:space="preserve"> est rejetée. </w:t>
            </w:r>
            <w:r w:rsidR="00824412" w:rsidRPr="00400576">
              <w:rPr>
                <w:lang w:val="fr-CA"/>
              </w:rPr>
              <w:t>L</w:t>
            </w:r>
            <w:r w:rsidR="00011960" w:rsidRPr="00400576">
              <w:rPr>
                <w:lang w:val="fr-CA"/>
              </w:rPr>
              <w:t>a demande d’autorisation d’appel de l’arrêt de la</w:t>
            </w:r>
            <w:r w:rsidR="00824412" w:rsidRPr="00400576">
              <w:rPr>
                <w:lang w:val="fr-CA"/>
              </w:rPr>
              <w:t xml:space="preserve"> Cour d’appel de l’Ontario, numéro M50141, </w:t>
            </w:r>
            <w:r w:rsidR="00011960" w:rsidRPr="00400576">
              <w:rPr>
                <w:lang w:val="fr-CA"/>
              </w:rPr>
              <w:t>daté du</w:t>
            </w:r>
            <w:r w:rsidR="00824412" w:rsidRPr="00400576">
              <w:rPr>
                <w:lang w:val="fr-CA"/>
              </w:rPr>
              <w:t xml:space="preserve"> 13 mai 2019, </w:t>
            </w:r>
            <w:r w:rsidRPr="00400576">
              <w:rPr>
                <w:lang w:val="fr-CA"/>
              </w:rPr>
              <w:t xml:space="preserve">est rejetée avec dépens conformément au tarif des honoraires et débours établi à l’Annexe B des </w:t>
            </w:r>
            <w:r w:rsidRPr="00400576">
              <w:rPr>
                <w:i/>
                <w:lang w:val="fr-CA"/>
              </w:rPr>
              <w:t>Règles de la Cour suprême du Canada</w:t>
            </w:r>
            <w:r w:rsidRPr="00400576">
              <w:rPr>
                <w:lang w:val="fr-CA"/>
              </w:rPr>
              <w:t>.</w:t>
            </w:r>
          </w:p>
        </w:tc>
      </w:tr>
    </w:tbl>
    <w:p w14:paraId="55FCE84E" w14:textId="77777777" w:rsidR="009F436C" w:rsidRPr="00400576" w:rsidRDefault="009F436C" w:rsidP="00417FB7">
      <w:pPr>
        <w:jc w:val="center"/>
        <w:rPr>
          <w:lang w:val="fr-CA"/>
        </w:rPr>
      </w:pPr>
    </w:p>
    <w:p w14:paraId="55FCE84F" w14:textId="77777777" w:rsidR="009F436C" w:rsidRPr="00400576" w:rsidRDefault="009F436C" w:rsidP="00417FB7">
      <w:pPr>
        <w:jc w:val="center"/>
        <w:rPr>
          <w:lang w:val="fr-CA"/>
        </w:rPr>
      </w:pPr>
    </w:p>
    <w:p w14:paraId="768876A3" w14:textId="77777777" w:rsidR="00FA0F5A" w:rsidRPr="00400576" w:rsidRDefault="00FA0F5A" w:rsidP="00417FB7">
      <w:pPr>
        <w:jc w:val="center"/>
        <w:rPr>
          <w:lang w:val="fr-CA"/>
        </w:rPr>
      </w:pPr>
    </w:p>
    <w:p w14:paraId="6C3C42B9" w14:textId="77777777" w:rsidR="00FA0F5A" w:rsidRPr="00400576" w:rsidRDefault="00FA0F5A" w:rsidP="00417FB7">
      <w:pPr>
        <w:jc w:val="center"/>
        <w:rPr>
          <w:lang w:val="fr-CA"/>
        </w:rPr>
      </w:pPr>
    </w:p>
    <w:p w14:paraId="5ED8A89E" w14:textId="77777777" w:rsidR="00FA0F5A" w:rsidRPr="00400576" w:rsidRDefault="00FA0F5A" w:rsidP="00417FB7">
      <w:pPr>
        <w:jc w:val="center"/>
        <w:rPr>
          <w:lang w:val="fr-CA"/>
        </w:rPr>
      </w:pPr>
    </w:p>
    <w:p w14:paraId="55FCE850" w14:textId="77777777" w:rsidR="009F436C" w:rsidRPr="00400576" w:rsidRDefault="003A37CF" w:rsidP="00417FB7">
      <w:pPr>
        <w:jc w:val="center"/>
        <w:rPr>
          <w:lang w:val="fr-CA"/>
        </w:rPr>
      </w:pPr>
      <w:r w:rsidRPr="00400576">
        <w:rPr>
          <w:lang w:val="fr-CA"/>
        </w:rPr>
        <w:t>J.S.C.C.</w:t>
      </w:r>
    </w:p>
    <w:p w14:paraId="55FCE851" w14:textId="77777777" w:rsidR="008F53F3" w:rsidRPr="00A252FA" w:rsidRDefault="003A37CF" w:rsidP="003A7BF5">
      <w:pPr>
        <w:jc w:val="center"/>
        <w:rPr>
          <w:lang w:val="fr-CA"/>
        </w:rPr>
      </w:pPr>
      <w:r w:rsidRPr="00400576">
        <w:rPr>
          <w:lang w:val="fr-CA"/>
        </w:rPr>
        <w:t>J.C.S.C.</w:t>
      </w:r>
    </w:p>
    <w:sectPr w:rsidR="008F53F3" w:rsidRPr="00A252FA" w:rsidSect="00400576">
      <w:headerReference w:type="default" r:id="rId9"/>
      <w:headerReference w:type="first" r:id="rId10"/>
      <w:type w:val="continuous"/>
      <w:pgSz w:w="12240" w:h="15840"/>
      <w:pgMar w:top="72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CE854" w14:textId="77777777" w:rsidR="00983D48" w:rsidRDefault="00983D48">
      <w:r>
        <w:separator/>
      </w:r>
    </w:p>
  </w:endnote>
  <w:endnote w:type="continuationSeparator" w:id="0">
    <w:p w14:paraId="55FCE85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CE852" w14:textId="77777777" w:rsidR="00983D48" w:rsidRDefault="00983D48">
      <w:r>
        <w:separator/>
      </w:r>
    </w:p>
  </w:footnote>
  <w:footnote w:type="continuationSeparator" w:id="0">
    <w:p w14:paraId="55FCE85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CE85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A0F5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5FCE857" w14:textId="77777777" w:rsidR="008F53F3" w:rsidRDefault="008F53F3" w:rsidP="008F53F3">
    <w:pPr>
      <w:rPr>
        <w:szCs w:val="24"/>
      </w:rPr>
    </w:pPr>
  </w:p>
  <w:p w14:paraId="55FCE858" w14:textId="77777777" w:rsidR="008F53F3" w:rsidRDefault="008F53F3" w:rsidP="008F53F3">
    <w:pPr>
      <w:rPr>
        <w:szCs w:val="24"/>
      </w:rPr>
    </w:pPr>
  </w:p>
  <w:p w14:paraId="55FCE85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38897</w:t>
    </w:r>
    <w:r>
      <w:rPr>
        <w:szCs w:val="24"/>
      </w:rPr>
      <w:t>     </w:t>
    </w:r>
  </w:p>
  <w:p w14:paraId="55FCE85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5FCE85B" w14:textId="77777777" w:rsidR="0073151A" w:rsidRDefault="0073151A" w:rsidP="0073151A"/>
      <w:p w14:paraId="55FCE85C" w14:textId="77777777" w:rsidR="0073151A" w:rsidRPr="006E7BAE" w:rsidRDefault="0073151A" w:rsidP="0073151A"/>
      <w:p w14:paraId="55FCE85D" w14:textId="77777777" w:rsidR="0073151A" w:rsidRPr="006E7BAE" w:rsidRDefault="0073151A" w:rsidP="0073151A"/>
      <w:p w14:paraId="55FCE85E" w14:textId="77777777" w:rsidR="0073151A" w:rsidRPr="006E7BAE" w:rsidRDefault="0073151A" w:rsidP="0073151A"/>
      <w:p w14:paraId="55FCE85F" w14:textId="77777777" w:rsidR="0073151A" w:rsidRDefault="0073151A" w:rsidP="0073151A"/>
      <w:p w14:paraId="55FCE860" w14:textId="77777777" w:rsidR="0073151A" w:rsidRDefault="0073151A" w:rsidP="0073151A"/>
      <w:p w14:paraId="55FCE861" w14:textId="77777777" w:rsidR="0073151A" w:rsidRDefault="0073151A" w:rsidP="0073151A"/>
      <w:p w14:paraId="55FCE862" w14:textId="77777777" w:rsidR="0073151A" w:rsidRDefault="0073151A" w:rsidP="0073151A"/>
      <w:p w14:paraId="55FCE863" w14:textId="77777777" w:rsidR="0073151A" w:rsidRDefault="0073151A" w:rsidP="0073151A"/>
      <w:p w14:paraId="55FCE864" w14:textId="77777777" w:rsidR="0073151A" w:rsidRPr="006E7BAE" w:rsidRDefault="0073151A" w:rsidP="0073151A"/>
      <w:p w14:paraId="55FCE865" w14:textId="77777777" w:rsidR="00ED265D" w:rsidRPr="0073151A" w:rsidRDefault="005557B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5A9F"/>
    <w:rsid w:val="0016666F"/>
    <w:rsid w:val="00167C15"/>
    <w:rsid w:val="00196E9C"/>
    <w:rsid w:val="001B3EC0"/>
    <w:rsid w:val="001D0116"/>
    <w:rsid w:val="001D4323"/>
    <w:rsid w:val="001D7832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7BF5"/>
    <w:rsid w:val="003B1F3D"/>
    <w:rsid w:val="003D3551"/>
    <w:rsid w:val="003F6511"/>
    <w:rsid w:val="00400576"/>
    <w:rsid w:val="00410EDC"/>
    <w:rsid w:val="00414694"/>
    <w:rsid w:val="00417FB7"/>
    <w:rsid w:val="0042783F"/>
    <w:rsid w:val="00447CFA"/>
    <w:rsid w:val="004943CF"/>
    <w:rsid w:val="004956DA"/>
    <w:rsid w:val="004D4658"/>
    <w:rsid w:val="00543EDD"/>
    <w:rsid w:val="0055345D"/>
    <w:rsid w:val="005557B0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63EF6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6844"/>
    <w:rsid w:val="0086042A"/>
    <w:rsid w:val="008763A3"/>
    <w:rsid w:val="008813BC"/>
    <w:rsid w:val="00891B01"/>
    <w:rsid w:val="00894E45"/>
    <w:rsid w:val="00895263"/>
    <w:rsid w:val="008A0569"/>
    <w:rsid w:val="008A153F"/>
    <w:rsid w:val="008B3B41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355D"/>
    <w:rsid w:val="00CB2B73"/>
    <w:rsid w:val="00CE249F"/>
    <w:rsid w:val="00CF17D0"/>
    <w:rsid w:val="00D42339"/>
    <w:rsid w:val="00D61AC2"/>
    <w:rsid w:val="00D81D25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0F5A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5FCE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D81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13322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2020-02-20T05:00:00+00:00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62FA1A2-D8C2-4AB5-ACB9-36FC83B49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D5A2-C364-43BD-A265-C70CA6E12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E0B51-7274-4B2E-A03B-037B86E2166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2020-02-18T19:03:00Z</dcterms:created>
  <dcterms:modified xsi:type="dcterms:W3CDTF">2020-02-18T19:03:00Z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