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879F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38864</w:t>
      </w:r>
      <w:r w:rsidR="0016666F" w:rsidRPr="006E7BAE">
        <w:t>     </w:t>
      </w:r>
    </w:p>
    <w:p w14:paraId="1DA879FD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641"/>
        <w:gridCol w:w="4489"/>
      </w:tblGrid>
      <w:tr w:rsidR="00417FB7" w:rsidRPr="006E7BAE" w14:paraId="1DA87A01" w14:textId="77777777" w:rsidTr="009364E8">
        <w:tc>
          <w:tcPr>
            <w:tcW w:w="2286" w:type="pct"/>
          </w:tcPr>
          <w:p w14:paraId="1DA879FE" w14:textId="77777777" w:rsidR="00417FB7" w:rsidRPr="006E7BAE" w:rsidRDefault="009364E8" w:rsidP="008262A3">
            <w:r>
              <w:t>March 5,</w:t>
            </w:r>
            <w:r w:rsidR="00543EDD">
              <w:t xml:space="preserve"> 2020</w:t>
            </w:r>
          </w:p>
        </w:tc>
        <w:tc>
          <w:tcPr>
            <w:tcW w:w="339" w:type="pct"/>
          </w:tcPr>
          <w:p w14:paraId="1DA879FF" w14:textId="77777777" w:rsidR="00417FB7" w:rsidRPr="006E7BAE" w:rsidRDefault="00417FB7" w:rsidP="00382FEC"/>
        </w:tc>
        <w:tc>
          <w:tcPr>
            <w:tcW w:w="2375" w:type="pct"/>
          </w:tcPr>
          <w:p w14:paraId="1DA87A00" w14:textId="77777777" w:rsidR="00417FB7" w:rsidRPr="00D83B8C" w:rsidRDefault="00543EDD" w:rsidP="009364E8">
            <w:pPr>
              <w:rPr>
                <w:lang w:val="en-US"/>
              </w:rPr>
            </w:pPr>
            <w:r>
              <w:t xml:space="preserve">Le </w:t>
            </w:r>
            <w:r w:rsidR="009364E8">
              <w:t>5 mars</w:t>
            </w:r>
            <w:r>
              <w:t xml:space="preserve"> 2020</w:t>
            </w:r>
          </w:p>
        </w:tc>
      </w:tr>
      <w:tr w:rsidR="00E12A51" w:rsidRPr="006E7BAE" w14:paraId="1DA87A05" w14:textId="77777777" w:rsidTr="009364E8">
        <w:tc>
          <w:tcPr>
            <w:tcW w:w="2286" w:type="pct"/>
            <w:tcMar>
              <w:top w:w="0" w:type="dxa"/>
              <w:bottom w:w="0" w:type="dxa"/>
            </w:tcMar>
          </w:tcPr>
          <w:p w14:paraId="1DA87A02" w14:textId="77777777" w:rsidR="00C2612E" w:rsidRPr="006E7BAE" w:rsidRDefault="00C2612E" w:rsidP="008262A3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1DA87A03" w14:textId="77777777" w:rsidR="00E12A51" w:rsidRPr="006E7BAE" w:rsidRDefault="00E12A51" w:rsidP="00382FEC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1DA87A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A87A14" w14:textId="77777777" w:rsidTr="009364E8">
        <w:tc>
          <w:tcPr>
            <w:tcW w:w="2286" w:type="pct"/>
          </w:tcPr>
          <w:p w14:paraId="1DA87A06" w14:textId="77777777" w:rsidR="002525AF" w:rsidRDefault="009364E8">
            <w:pPr>
              <w:pStyle w:val="SCCLsocPrefix"/>
            </w:pPr>
            <w:r>
              <w:t>BETWEEN:</w:t>
            </w:r>
            <w:r>
              <w:br/>
            </w:r>
          </w:p>
          <w:p w14:paraId="1DA87A07" w14:textId="4CFFCF27" w:rsidR="002525AF" w:rsidRDefault="009364E8">
            <w:pPr>
              <w:pStyle w:val="SCCLsocParty"/>
            </w:pPr>
            <w:r w:rsidRPr="00214F5A">
              <w:t xml:space="preserve">Reem Yousef Saeed Kreishan, Giovani Acevedo Arango (a.k.a. Giovanni Acevedo Arango), Cristian Camilo Acevedo Gomez, Mohammed Zakir Hossain, Suad Sulieman Odeh Abu Shabab, Abdalla Mahmoud Aboushabab, </w:t>
            </w:r>
            <w:r w:rsidR="00214F5A" w:rsidRPr="00214F5A">
              <w:t xml:space="preserve">Maha Mahmoud Mohamed Oudah, Aly Mahmoud Mohamed Oudah, Mohamed Mahmoud Oudah, </w:t>
            </w:r>
            <w:r w:rsidRPr="00E82231">
              <w:t>Tagi Mahmoud Mohamed Aboshabab, Huda Marwan Kashtem, Mhd Nazir Deirani</w:t>
            </w:r>
            <w:r w:rsidR="00214F5A">
              <w:t xml:space="preserve"> and</w:t>
            </w:r>
            <w:r w:rsidRPr="00E82231">
              <w:t xml:space="preserve"> Bara</w:t>
            </w:r>
            <w:r w:rsidR="00E82231">
              <w:t>’</w:t>
            </w:r>
            <w:r w:rsidRPr="00E82231">
              <w:t xml:space="preserve">a Derani </w:t>
            </w:r>
            <w:r>
              <w:br/>
            </w:r>
          </w:p>
          <w:p w14:paraId="1DA87A08" w14:textId="77777777" w:rsidR="002525AF" w:rsidRDefault="009364E8">
            <w:pPr>
              <w:pStyle w:val="SCCLsocPartyRole"/>
            </w:pPr>
            <w:r>
              <w:t>Applicants</w:t>
            </w:r>
            <w:r>
              <w:br/>
            </w:r>
          </w:p>
          <w:p w14:paraId="1DA87A09" w14:textId="77777777" w:rsidR="002525AF" w:rsidRDefault="009364E8">
            <w:pPr>
              <w:pStyle w:val="SCCLsocVersus"/>
            </w:pPr>
            <w:r>
              <w:t>- and -</w:t>
            </w:r>
            <w:r>
              <w:br/>
            </w:r>
          </w:p>
          <w:p w14:paraId="1DA87A0A" w14:textId="77777777" w:rsidR="009364E8" w:rsidRDefault="009364E8">
            <w:pPr>
              <w:pStyle w:val="SCCLsocParty"/>
            </w:pPr>
            <w:r>
              <w:t>Minister of Citizenship and Immigration</w:t>
            </w:r>
          </w:p>
          <w:p w14:paraId="1DA87A0B" w14:textId="77777777" w:rsidR="002525AF" w:rsidRDefault="009364E8">
            <w:pPr>
              <w:pStyle w:val="SCCLsocParty"/>
            </w:pPr>
            <w:r>
              <w:br/>
            </w:r>
          </w:p>
          <w:p w14:paraId="1DA87A0C" w14:textId="77777777" w:rsidR="002525AF" w:rsidRDefault="009364E8">
            <w:pPr>
              <w:pStyle w:val="SCCLsocPartyRole"/>
            </w:pPr>
            <w:r>
              <w:t>Respondent</w:t>
            </w:r>
          </w:p>
        </w:tc>
        <w:tc>
          <w:tcPr>
            <w:tcW w:w="339" w:type="pct"/>
          </w:tcPr>
          <w:p w14:paraId="1DA87A0D" w14:textId="77777777" w:rsidR="00824412" w:rsidRPr="006E7BAE" w:rsidRDefault="00824412" w:rsidP="00375294"/>
        </w:tc>
        <w:tc>
          <w:tcPr>
            <w:tcW w:w="2375" w:type="pct"/>
          </w:tcPr>
          <w:p w14:paraId="1DA87A0E" w14:textId="77777777" w:rsidR="002525AF" w:rsidRDefault="009364E8">
            <w:pPr>
              <w:pStyle w:val="SCCLsocPrefix"/>
            </w:pPr>
            <w:r>
              <w:t>ENTRE :</w:t>
            </w:r>
            <w:r>
              <w:br/>
            </w:r>
          </w:p>
          <w:p w14:paraId="1DA87A0F" w14:textId="52740326" w:rsidR="002525AF" w:rsidRDefault="009364E8">
            <w:pPr>
              <w:pStyle w:val="SCCLsocParty"/>
            </w:pPr>
            <w:r w:rsidRPr="00214F5A">
              <w:t>Reem Yousef Saeed Kreishan, Giovani Acevedo Arango (</w:t>
            </w:r>
            <w:r w:rsidR="00F823DC" w:rsidRPr="00214F5A">
              <w:t>alias</w:t>
            </w:r>
            <w:r w:rsidRPr="00214F5A">
              <w:t xml:space="preserve"> Giovanni Acevedo Arango), Cristian Camilo Acevedo Gomez, Mohammed Zakir Hossain, Suad Sulieman Odeh Abu Shabab, Abdalla Mahmoud Aboushabab, </w:t>
            </w:r>
            <w:r w:rsidR="00214F5A" w:rsidRPr="00214F5A">
              <w:t xml:space="preserve">Maha Mahmoud Mohamed Oudah, Aly Mahmoud Mohamed Oudah, Mohamed Mahmoud Oudah, </w:t>
            </w:r>
            <w:r w:rsidRPr="00E82231">
              <w:t>Tagi Mahmoud Mohamed Aboshabab, Huda Marwan Kashtem, Mhd Nazir Deirani</w:t>
            </w:r>
            <w:r w:rsidR="00214F5A">
              <w:t xml:space="preserve"> et</w:t>
            </w:r>
            <w:r w:rsidR="00214F5A" w:rsidRPr="00E82231">
              <w:t xml:space="preserve"> </w:t>
            </w:r>
            <w:r w:rsidRPr="00E82231">
              <w:t>Bara</w:t>
            </w:r>
            <w:r w:rsidR="00E82231">
              <w:t>’</w:t>
            </w:r>
            <w:r w:rsidRPr="00E82231">
              <w:t>a Derani</w:t>
            </w:r>
            <w:r>
              <w:br/>
            </w:r>
          </w:p>
          <w:p w14:paraId="1DA87A10" w14:textId="77777777" w:rsidR="002525AF" w:rsidRPr="009364E8" w:rsidRDefault="009364E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364E8">
              <w:rPr>
                <w:lang w:val="fr-FR"/>
              </w:rPr>
              <w:t>s</w:t>
            </w:r>
            <w:r w:rsidRPr="009364E8">
              <w:rPr>
                <w:lang w:val="fr-FR"/>
              </w:rPr>
              <w:br/>
            </w:r>
          </w:p>
          <w:p w14:paraId="1DA87A11" w14:textId="77777777" w:rsidR="002525AF" w:rsidRPr="009364E8" w:rsidRDefault="009364E8">
            <w:pPr>
              <w:pStyle w:val="SCCLsocVersus"/>
              <w:rPr>
                <w:lang w:val="fr-FR"/>
              </w:rPr>
            </w:pPr>
            <w:r w:rsidRPr="009364E8">
              <w:rPr>
                <w:lang w:val="fr-FR"/>
              </w:rPr>
              <w:t>- et -</w:t>
            </w:r>
            <w:r w:rsidRPr="009364E8">
              <w:rPr>
                <w:lang w:val="fr-FR"/>
              </w:rPr>
              <w:br/>
            </w:r>
          </w:p>
          <w:p w14:paraId="1DA87A12" w14:textId="47A9A1F8" w:rsidR="002525AF" w:rsidRPr="009364E8" w:rsidRDefault="009364E8">
            <w:pPr>
              <w:pStyle w:val="SCCLsocParty"/>
              <w:rPr>
                <w:lang w:val="fr-FR"/>
              </w:rPr>
            </w:pPr>
            <w:r w:rsidRPr="009364E8">
              <w:rPr>
                <w:lang w:val="fr-FR"/>
              </w:rPr>
              <w:t>Ministre de la Citoyenneté et de l</w:t>
            </w:r>
            <w:r w:rsidR="00E82231">
              <w:rPr>
                <w:lang w:val="fr-FR"/>
              </w:rPr>
              <w:t>’</w:t>
            </w:r>
            <w:r w:rsidRPr="009364E8">
              <w:rPr>
                <w:lang w:val="fr-FR"/>
              </w:rPr>
              <w:t>Immigration</w:t>
            </w:r>
            <w:r w:rsidRPr="009364E8">
              <w:rPr>
                <w:lang w:val="fr-FR"/>
              </w:rPr>
              <w:br/>
            </w:r>
          </w:p>
          <w:p w14:paraId="1DA87A13" w14:textId="77777777" w:rsidR="002525AF" w:rsidRDefault="009364E8">
            <w:pPr>
              <w:pStyle w:val="SCCLsocPartyRole"/>
            </w:pPr>
            <w:r>
              <w:t>Intimé</w:t>
            </w:r>
          </w:p>
        </w:tc>
      </w:tr>
      <w:tr w:rsidR="00824412" w:rsidRPr="006E7BAE" w14:paraId="1DA87A18" w14:textId="77777777" w:rsidTr="009364E8">
        <w:tc>
          <w:tcPr>
            <w:tcW w:w="2286" w:type="pct"/>
            <w:tcMar>
              <w:top w:w="0" w:type="dxa"/>
              <w:bottom w:w="0" w:type="dxa"/>
            </w:tcMar>
          </w:tcPr>
          <w:p w14:paraId="1DA87A15" w14:textId="77777777" w:rsidR="00824412" w:rsidRPr="006E7BAE" w:rsidRDefault="00824412" w:rsidP="00375294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1DA87A16" w14:textId="77777777" w:rsidR="00824412" w:rsidRPr="006E7BAE" w:rsidRDefault="00824412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1DA87A1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7496" w14:paraId="1DA87A20" w14:textId="77777777" w:rsidTr="009364E8">
        <w:tc>
          <w:tcPr>
            <w:tcW w:w="2286" w:type="pct"/>
          </w:tcPr>
          <w:p w14:paraId="1DA87A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A87A1A" w14:textId="77777777" w:rsidR="00824412" w:rsidRPr="006E7BAE" w:rsidRDefault="00824412" w:rsidP="00417FB7">
            <w:pPr>
              <w:jc w:val="center"/>
            </w:pPr>
          </w:p>
          <w:p w14:paraId="1DA87A1B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A-153-18, 2019 FCA 223</w:t>
            </w:r>
            <w:r w:rsidRPr="006E7BAE">
              <w:t xml:space="preserve">, dated </w:t>
            </w:r>
            <w:r>
              <w:t>August 19, 2019</w:t>
            </w:r>
            <w:r w:rsidR="009364E8">
              <w:t>,</w:t>
            </w:r>
            <w:r w:rsidRPr="006E7BAE">
              <w:t xml:space="preserve"> is </w:t>
            </w:r>
            <w:r w:rsidR="009364E8">
              <w:t>dismissed.</w:t>
            </w:r>
          </w:p>
        </w:tc>
        <w:tc>
          <w:tcPr>
            <w:tcW w:w="339" w:type="pct"/>
          </w:tcPr>
          <w:p w14:paraId="1DA87A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1DA87A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A87A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A87A1F" w14:textId="77777777" w:rsidR="003F6511" w:rsidRPr="006E7BAE" w:rsidRDefault="00824412" w:rsidP="009364E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64E8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364E8">
              <w:rPr>
                <w:lang w:val="fr-FR"/>
              </w:rPr>
              <w:t>A-153-18, 2019 FCA 223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64E8">
              <w:rPr>
                <w:lang w:val="fr-FR"/>
              </w:rPr>
              <w:t>19 août 2019</w:t>
            </w:r>
            <w:r w:rsidRPr="006E7BAE">
              <w:rPr>
                <w:lang w:val="fr-CA"/>
              </w:rPr>
              <w:t xml:space="preserve">, est </w:t>
            </w:r>
            <w:r w:rsidR="009364E8"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A87A21" w14:textId="77777777" w:rsidR="009F436C" w:rsidRPr="00D83B8C" w:rsidRDefault="009F436C" w:rsidP="00382FEC">
      <w:pPr>
        <w:rPr>
          <w:lang w:val="fr-CA"/>
        </w:rPr>
      </w:pPr>
    </w:p>
    <w:p w14:paraId="1DA87A22" w14:textId="77777777" w:rsidR="009F436C" w:rsidRDefault="009F436C" w:rsidP="00417FB7">
      <w:pPr>
        <w:jc w:val="center"/>
        <w:rPr>
          <w:lang w:val="fr-CA"/>
        </w:rPr>
      </w:pPr>
    </w:p>
    <w:p w14:paraId="1DA87A23" w14:textId="77777777" w:rsidR="009364E8" w:rsidRPr="00D83B8C" w:rsidRDefault="009364E8" w:rsidP="00417FB7">
      <w:pPr>
        <w:jc w:val="center"/>
        <w:rPr>
          <w:lang w:val="fr-CA"/>
        </w:rPr>
      </w:pPr>
    </w:p>
    <w:p w14:paraId="1DA87A24" w14:textId="77777777" w:rsidR="009F436C" w:rsidRPr="00D83B8C" w:rsidRDefault="009F436C" w:rsidP="00417FB7">
      <w:pPr>
        <w:jc w:val="center"/>
        <w:rPr>
          <w:lang w:val="fr-CA"/>
        </w:rPr>
      </w:pPr>
    </w:p>
    <w:p w14:paraId="1DA87A2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DA87A2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A7496">
      <w:headerReference w:type="default" r:id="rId10"/>
      <w:headerReference w:type="first" r:id="rId11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7A29" w14:textId="77777777" w:rsidR="00983D48" w:rsidRDefault="00983D48">
      <w:r>
        <w:separator/>
      </w:r>
    </w:p>
  </w:endnote>
  <w:endnote w:type="continuationSeparator" w:id="0">
    <w:p w14:paraId="1DA87A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7A27" w14:textId="77777777" w:rsidR="00983D48" w:rsidRDefault="00983D48">
      <w:r>
        <w:separator/>
      </w:r>
    </w:p>
  </w:footnote>
  <w:footnote w:type="continuationSeparator" w:id="0">
    <w:p w14:paraId="1DA87A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7A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74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A87A2C" w14:textId="77777777" w:rsidR="008F53F3" w:rsidRDefault="008F53F3" w:rsidP="008F53F3">
    <w:pPr>
      <w:rPr>
        <w:szCs w:val="24"/>
      </w:rPr>
    </w:pPr>
  </w:p>
  <w:p w14:paraId="1DA87A2D" w14:textId="77777777" w:rsidR="008F53F3" w:rsidRDefault="008F53F3" w:rsidP="008F53F3">
    <w:pPr>
      <w:rPr>
        <w:szCs w:val="24"/>
      </w:rPr>
    </w:pPr>
  </w:p>
  <w:p w14:paraId="1DA87A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38864</w:t>
    </w:r>
    <w:r>
      <w:rPr>
        <w:szCs w:val="24"/>
      </w:rPr>
      <w:t>     </w:t>
    </w:r>
  </w:p>
  <w:p w14:paraId="1DA87A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879842"/>
      <w:lock w:val="sdtContentLocked"/>
      <w:showingPlcHdr/>
      <w:text/>
    </w:sdtPr>
    <w:sdtEndPr/>
    <w:sdtContent>
      <w:p w14:paraId="1DA87A30" w14:textId="77777777" w:rsidR="0073151A" w:rsidRDefault="0073151A" w:rsidP="0073151A"/>
      <w:p w14:paraId="1DA87A31" w14:textId="77777777" w:rsidR="0073151A" w:rsidRPr="006E7BAE" w:rsidRDefault="0073151A" w:rsidP="0073151A"/>
      <w:p w14:paraId="1DA87A32" w14:textId="77777777" w:rsidR="0073151A" w:rsidRPr="006E7BAE" w:rsidRDefault="0073151A" w:rsidP="0073151A"/>
      <w:p w14:paraId="1DA87A33" w14:textId="77777777" w:rsidR="0073151A" w:rsidRPr="006E7BAE" w:rsidRDefault="0073151A" w:rsidP="0073151A"/>
      <w:p w14:paraId="1DA87A34" w14:textId="77777777" w:rsidR="0073151A" w:rsidRDefault="0073151A" w:rsidP="0073151A"/>
      <w:p w14:paraId="1DA87A35" w14:textId="77777777" w:rsidR="0073151A" w:rsidRDefault="0073151A" w:rsidP="0073151A"/>
      <w:p w14:paraId="1DA87A36" w14:textId="77777777" w:rsidR="0073151A" w:rsidRDefault="0073151A" w:rsidP="0073151A"/>
      <w:p w14:paraId="1DA87A37" w14:textId="77777777" w:rsidR="0073151A" w:rsidRDefault="0073151A" w:rsidP="0073151A"/>
      <w:p w14:paraId="1DA87A38" w14:textId="77777777" w:rsidR="0073151A" w:rsidRDefault="0073151A" w:rsidP="0073151A"/>
      <w:p w14:paraId="1DA87A39" w14:textId="77777777" w:rsidR="0073151A" w:rsidRPr="006E7BAE" w:rsidRDefault="0073151A" w:rsidP="0073151A"/>
      <w:p w14:paraId="1DA87A3A" w14:textId="77777777" w:rsidR="00ED265D" w:rsidRPr="0073151A" w:rsidRDefault="004500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4F5A"/>
    <w:rsid w:val="002523DE"/>
    <w:rsid w:val="002525AF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000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749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64E8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223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3DC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A87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1A59-F1AB-4E7F-8124-D0040012E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8F607-94DD-47FD-97B8-7530ED499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84D8C-93FC-4584-88BE-C20D1A26A75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F37F71C0-BF5C-4003-9F52-CCDF59E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2020-03-02T18:04:00Z</dcterms:created>
  <dcterms:modified xsi:type="dcterms:W3CDTF">2020-03-02T18:04:00Z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