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B51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39549</w:t>
      </w:r>
      <w:r w:rsidR="00E81C0B" w:rsidRPr="001E26DB">
        <w:t>     </w:t>
      </w:r>
    </w:p>
    <w:p w14:paraId="7B1AB51A" w14:textId="77777777" w:rsidR="009F436C" w:rsidRPr="001E26DB" w:rsidRDefault="009F436C" w:rsidP="00382FEC"/>
    <w:p w14:paraId="7B1AB51B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7B1AB51F" w14:textId="77777777" w:rsidTr="00587F20">
        <w:tc>
          <w:tcPr>
            <w:tcW w:w="2314" w:type="pct"/>
          </w:tcPr>
          <w:p w14:paraId="7B1AB51C" w14:textId="77777777" w:rsidR="00417FB7" w:rsidRPr="001E26DB" w:rsidRDefault="00C56017" w:rsidP="00C56017">
            <w:r>
              <w:t>Le 24</w:t>
            </w:r>
            <w:r w:rsidR="0062554E">
              <w:t xml:space="preserve"> juin 2021</w:t>
            </w:r>
          </w:p>
        </w:tc>
        <w:tc>
          <w:tcPr>
            <w:tcW w:w="388" w:type="pct"/>
          </w:tcPr>
          <w:p w14:paraId="7B1AB51D" w14:textId="77777777" w:rsidR="00417FB7" w:rsidRPr="001E26DB" w:rsidRDefault="00417FB7" w:rsidP="00382FEC"/>
        </w:tc>
        <w:tc>
          <w:tcPr>
            <w:tcW w:w="2298" w:type="pct"/>
          </w:tcPr>
          <w:p w14:paraId="7B1AB51E" w14:textId="77777777" w:rsidR="00417FB7" w:rsidRPr="001E26DB" w:rsidRDefault="00C56017" w:rsidP="0027081E">
            <w:pPr>
              <w:rPr>
                <w:lang w:val="en-CA"/>
              </w:rPr>
            </w:pPr>
            <w:r>
              <w:t>June 24</w:t>
            </w:r>
            <w:r w:rsidR="0062554E">
              <w:t>, 2021</w:t>
            </w:r>
          </w:p>
        </w:tc>
      </w:tr>
      <w:tr w:rsidR="00C2612E" w:rsidRPr="0062554E" w14:paraId="7B1AB523" w14:textId="77777777" w:rsidTr="00587F20">
        <w:tc>
          <w:tcPr>
            <w:tcW w:w="2314" w:type="pct"/>
            <w:tcMar>
              <w:top w:w="0" w:type="dxa"/>
              <w:bottom w:w="0" w:type="dxa"/>
            </w:tcMar>
          </w:tcPr>
          <w:p w14:paraId="7B1AB52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7B1AB52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B1AB52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B1AB531" w14:textId="77777777" w:rsidTr="00587F20">
        <w:tc>
          <w:tcPr>
            <w:tcW w:w="2314" w:type="pct"/>
          </w:tcPr>
          <w:p w14:paraId="7B1AB524" w14:textId="77777777" w:rsidR="00A60256" w:rsidRDefault="00C56017">
            <w:pPr>
              <w:pStyle w:val="SCCLsocPrefix"/>
            </w:pPr>
            <w:r>
              <w:t>ENTRE :</w:t>
            </w:r>
            <w:r>
              <w:br/>
            </w:r>
          </w:p>
          <w:p w14:paraId="7B1AB525" w14:textId="77777777" w:rsidR="00A60256" w:rsidRDefault="00C56017">
            <w:pPr>
              <w:pStyle w:val="SCCLsocParty"/>
            </w:pPr>
            <w:r>
              <w:t>André Duchesneau</w:t>
            </w:r>
            <w:r>
              <w:br/>
            </w:r>
          </w:p>
          <w:p w14:paraId="7B1AB526" w14:textId="77777777" w:rsidR="00A60256" w:rsidRDefault="00C56017">
            <w:pPr>
              <w:pStyle w:val="SCCLsocPartyRole"/>
            </w:pPr>
            <w:r>
              <w:t>Demandeur</w:t>
            </w:r>
            <w:r>
              <w:br/>
            </w:r>
          </w:p>
          <w:p w14:paraId="7B1AB527" w14:textId="77777777" w:rsidR="00A60256" w:rsidRDefault="00C56017">
            <w:pPr>
              <w:pStyle w:val="SCCLsocVersus"/>
            </w:pPr>
            <w:r>
              <w:t>- et -</w:t>
            </w:r>
            <w:r>
              <w:br/>
            </w:r>
          </w:p>
          <w:p w14:paraId="7B1AB528" w14:textId="77777777" w:rsidR="00A60256" w:rsidRDefault="00C56017">
            <w:pPr>
              <w:pStyle w:val="SCCLsocParty"/>
            </w:pPr>
            <w:r>
              <w:t>Ordre des podiatres du Québec</w:t>
            </w:r>
            <w:r>
              <w:br/>
            </w:r>
          </w:p>
          <w:p w14:paraId="7B1AB529" w14:textId="77777777" w:rsidR="00A60256" w:rsidRDefault="00C56017" w:rsidP="00C56017">
            <w:pPr>
              <w:pStyle w:val="SCCLsocPartyRole"/>
            </w:pPr>
            <w:r>
              <w:t>Intimé</w:t>
            </w:r>
          </w:p>
        </w:tc>
        <w:tc>
          <w:tcPr>
            <w:tcW w:w="388" w:type="pct"/>
          </w:tcPr>
          <w:p w14:paraId="7B1AB52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7B1AB52B" w14:textId="77777777" w:rsidR="00A60256" w:rsidRDefault="00C56017">
            <w:pPr>
              <w:pStyle w:val="SCCLsocPrefix"/>
            </w:pPr>
            <w:r>
              <w:t>BETWEEN:</w:t>
            </w:r>
            <w:r>
              <w:br/>
            </w:r>
          </w:p>
          <w:p w14:paraId="7B1AB52C" w14:textId="77777777" w:rsidR="00A60256" w:rsidRDefault="00C56017">
            <w:pPr>
              <w:pStyle w:val="SCCLsocParty"/>
            </w:pPr>
            <w:r>
              <w:t>André Duchesneau</w:t>
            </w:r>
            <w:r>
              <w:br/>
            </w:r>
          </w:p>
          <w:p w14:paraId="7B1AB52D" w14:textId="77777777" w:rsidR="00A60256" w:rsidRDefault="00C56017">
            <w:pPr>
              <w:pStyle w:val="SCCLsocPartyRole"/>
            </w:pPr>
            <w:r>
              <w:t>Applicant</w:t>
            </w:r>
            <w:r>
              <w:br/>
            </w:r>
          </w:p>
          <w:p w14:paraId="7B1AB52E" w14:textId="77777777" w:rsidR="00A60256" w:rsidRDefault="00C56017">
            <w:pPr>
              <w:pStyle w:val="SCCLsocVersus"/>
            </w:pPr>
            <w:r>
              <w:t>- and -</w:t>
            </w:r>
            <w:r>
              <w:br/>
            </w:r>
          </w:p>
          <w:p w14:paraId="7B1AB52F" w14:textId="77777777" w:rsidR="00A60256" w:rsidRDefault="00C56017">
            <w:pPr>
              <w:pStyle w:val="SCCLsocParty"/>
            </w:pPr>
            <w:r>
              <w:t>Ordre des podiatres du Québec</w:t>
            </w:r>
            <w:r>
              <w:br/>
            </w:r>
          </w:p>
          <w:p w14:paraId="7B1AB530" w14:textId="77777777" w:rsidR="00A60256" w:rsidRDefault="00C5601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B1AB535" w14:textId="77777777" w:rsidTr="00587F20">
        <w:tc>
          <w:tcPr>
            <w:tcW w:w="2314" w:type="pct"/>
            <w:tcMar>
              <w:top w:w="0" w:type="dxa"/>
              <w:bottom w:w="0" w:type="dxa"/>
            </w:tcMar>
          </w:tcPr>
          <w:p w14:paraId="7B1AB53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7B1AB53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B1AB53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7F20" w14:paraId="7B1AB544" w14:textId="77777777" w:rsidTr="00587F20">
        <w:tc>
          <w:tcPr>
            <w:tcW w:w="2314" w:type="pct"/>
          </w:tcPr>
          <w:p w14:paraId="7B1AB53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B1AB537" w14:textId="77777777" w:rsidR="0027081E" w:rsidRPr="001E26DB" w:rsidRDefault="0027081E" w:rsidP="0027081E">
            <w:pPr>
              <w:jc w:val="center"/>
            </w:pPr>
          </w:p>
          <w:p w14:paraId="7B1AB538" w14:textId="78666204" w:rsidR="00824412" w:rsidRDefault="00C56017" w:rsidP="0027081E">
            <w:pPr>
              <w:jc w:val="both"/>
            </w:pPr>
            <w:r w:rsidRPr="00C56017">
              <w:t>La requête en prorogation du délai de signification et de dépôt de la demande d’autori</w:t>
            </w:r>
            <w:r>
              <w:t xml:space="preserve">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200-10-003788-200, 2020 QCCA 1516</w:t>
            </w:r>
            <w:r w:rsidR="0027081E" w:rsidRPr="001E26DB">
              <w:t xml:space="preserve">, daté du </w:t>
            </w:r>
            <w:r w:rsidR="0027081E">
              <w:t>9 novembre 2020</w:t>
            </w:r>
            <w:r w:rsidR="0027081E" w:rsidRPr="001E26DB">
              <w:t xml:space="preserve">, est </w:t>
            </w:r>
            <w:r>
              <w:t>rejetée avec dépens.</w:t>
            </w:r>
          </w:p>
          <w:p w14:paraId="7B1AB539" w14:textId="77777777" w:rsidR="00622562" w:rsidRDefault="00622562" w:rsidP="0027081E">
            <w:pPr>
              <w:jc w:val="both"/>
            </w:pPr>
          </w:p>
          <w:p w14:paraId="7B1AB53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7B1AB53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7B1AB53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B1AB53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B1AB53F" w14:textId="29184205" w:rsidR="00622562" w:rsidRDefault="00C5601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56017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56017">
              <w:rPr>
                <w:lang w:val="en-US"/>
              </w:rPr>
              <w:t>200-10-003788-200, 2020 QCCA 1516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56017">
              <w:rPr>
                <w:lang w:val="en-US"/>
              </w:rPr>
              <w:t>November 9,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</w:t>
            </w:r>
            <w:r w:rsidR="00587F20">
              <w:rPr>
                <w:lang w:val="en-CA"/>
              </w:rPr>
              <w:t xml:space="preserve">ed with costs. </w:t>
            </w:r>
          </w:p>
          <w:p w14:paraId="7B1AB540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7B1AB541" w14:textId="77777777" w:rsidR="00C56017" w:rsidRDefault="00C56017" w:rsidP="006C1359">
            <w:pPr>
              <w:jc w:val="both"/>
              <w:rPr>
                <w:lang w:val="en-US"/>
              </w:rPr>
            </w:pPr>
          </w:p>
          <w:p w14:paraId="7B1AB542" w14:textId="77777777" w:rsidR="00C56017" w:rsidRDefault="00C56017" w:rsidP="006C1359">
            <w:pPr>
              <w:jc w:val="both"/>
              <w:rPr>
                <w:lang w:val="en-US"/>
              </w:rPr>
            </w:pPr>
          </w:p>
          <w:p w14:paraId="7B1AB543" w14:textId="77777777" w:rsidR="00C56017" w:rsidRPr="00622562" w:rsidRDefault="00C56017" w:rsidP="006C1359">
            <w:pPr>
              <w:jc w:val="both"/>
              <w:rPr>
                <w:lang w:val="en-US"/>
              </w:rPr>
            </w:pPr>
          </w:p>
        </w:tc>
      </w:tr>
    </w:tbl>
    <w:p w14:paraId="7B1AB545" w14:textId="77777777" w:rsidR="009F436C" w:rsidRPr="002C29B6" w:rsidRDefault="009F436C" w:rsidP="00382FEC">
      <w:pPr>
        <w:rPr>
          <w:lang w:val="en-US"/>
        </w:rPr>
      </w:pPr>
    </w:p>
    <w:p w14:paraId="7B1AB546" w14:textId="77777777" w:rsidR="009F436C" w:rsidRPr="002C29B6" w:rsidRDefault="009F436C" w:rsidP="00417FB7">
      <w:pPr>
        <w:jc w:val="center"/>
        <w:rPr>
          <w:lang w:val="en-US"/>
        </w:rPr>
      </w:pPr>
    </w:p>
    <w:p w14:paraId="7B1AB547" w14:textId="77777777" w:rsidR="009F436C" w:rsidRPr="002C29B6" w:rsidRDefault="009F436C" w:rsidP="00417FB7">
      <w:pPr>
        <w:jc w:val="center"/>
        <w:rPr>
          <w:lang w:val="en-US"/>
        </w:rPr>
      </w:pPr>
    </w:p>
    <w:p w14:paraId="7B1AB548" w14:textId="77777777" w:rsidR="00655333" w:rsidRPr="00C56017" w:rsidRDefault="00655333" w:rsidP="00655333">
      <w:pPr>
        <w:jc w:val="center"/>
        <w:rPr>
          <w:lang w:val="en-US"/>
        </w:rPr>
      </w:pPr>
      <w:r w:rsidRPr="00C56017">
        <w:rPr>
          <w:lang w:val="en-US"/>
        </w:rPr>
        <w:t>J.C.C.</w:t>
      </w:r>
    </w:p>
    <w:p w14:paraId="7B1AB549" w14:textId="77777777" w:rsidR="00655333" w:rsidRPr="00C56017" w:rsidRDefault="00655333" w:rsidP="00655333">
      <w:pPr>
        <w:jc w:val="center"/>
        <w:rPr>
          <w:lang w:val="en-US"/>
        </w:rPr>
      </w:pPr>
      <w:r w:rsidRPr="00C56017">
        <w:rPr>
          <w:lang w:val="en-US"/>
        </w:rPr>
        <w:t>C.J.C.</w:t>
      </w:r>
    </w:p>
    <w:sectPr w:rsidR="00655333" w:rsidRPr="00C5601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B54C" w14:textId="77777777" w:rsidR="00D27D4E" w:rsidRDefault="00D27D4E">
      <w:r>
        <w:separator/>
      </w:r>
    </w:p>
  </w:endnote>
  <w:endnote w:type="continuationSeparator" w:id="0">
    <w:p w14:paraId="7B1AB54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B54A" w14:textId="77777777" w:rsidR="00D27D4E" w:rsidRDefault="00D27D4E">
      <w:r>
        <w:separator/>
      </w:r>
    </w:p>
  </w:footnote>
  <w:footnote w:type="continuationSeparator" w:id="0">
    <w:p w14:paraId="7B1AB54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B5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5601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1AB54F" w14:textId="77777777" w:rsidR="00401B64" w:rsidRDefault="00401B64" w:rsidP="00401B64">
    <w:pPr>
      <w:rPr>
        <w:szCs w:val="24"/>
      </w:rPr>
    </w:pPr>
  </w:p>
  <w:p w14:paraId="7B1AB550" w14:textId="77777777" w:rsidR="00401B64" w:rsidRDefault="00401B64" w:rsidP="00401B64">
    <w:pPr>
      <w:rPr>
        <w:szCs w:val="24"/>
      </w:rPr>
    </w:pPr>
  </w:p>
  <w:p w14:paraId="7B1AB5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39549</w:t>
    </w:r>
    <w:r w:rsidR="00401B64">
      <w:rPr>
        <w:szCs w:val="24"/>
      </w:rPr>
      <w:t>     </w:t>
    </w:r>
  </w:p>
  <w:p w14:paraId="7B1AB5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B1AB553" w14:textId="77777777" w:rsidR="000452C9" w:rsidRDefault="000452C9" w:rsidP="000452C9"/>
      <w:p w14:paraId="7B1AB554" w14:textId="77777777" w:rsidR="000452C9" w:rsidRPr="001E26DB" w:rsidRDefault="000452C9" w:rsidP="000452C9"/>
      <w:p w14:paraId="7B1AB555" w14:textId="77777777" w:rsidR="000452C9" w:rsidRPr="001E26DB" w:rsidRDefault="000452C9" w:rsidP="000452C9"/>
      <w:p w14:paraId="7B1AB556" w14:textId="77777777" w:rsidR="000452C9" w:rsidRDefault="000452C9" w:rsidP="000452C9"/>
      <w:p w14:paraId="7B1AB557" w14:textId="77777777" w:rsidR="000452C9" w:rsidRDefault="000452C9" w:rsidP="000452C9"/>
      <w:p w14:paraId="7B1AB558" w14:textId="77777777" w:rsidR="000452C9" w:rsidRDefault="000452C9" w:rsidP="000452C9"/>
      <w:p w14:paraId="7B1AB559" w14:textId="77777777" w:rsidR="000452C9" w:rsidRDefault="000452C9" w:rsidP="000452C9"/>
      <w:p w14:paraId="7B1AB55A" w14:textId="77777777" w:rsidR="000452C9" w:rsidRPr="001E26DB" w:rsidRDefault="000452C9" w:rsidP="000452C9"/>
      <w:p w14:paraId="7B1AB55B" w14:textId="77777777" w:rsidR="000452C9" w:rsidRPr="001E26DB" w:rsidRDefault="000452C9" w:rsidP="000452C9"/>
      <w:p w14:paraId="7B1AB55C" w14:textId="77777777" w:rsidR="000452C9" w:rsidRDefault="000452C9" w:rsidP="000452C9">
        <w:pPr>
          <w:pStyle w:val="Header"/>
        </w:pPr>
      </w:p>
      <w:p w14:paraId="7B1AB55D" w14:textId="77777777" w:rsidR="001D6D96" w:rsidRPr="000452C9" w:rsidRDefault="0016544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544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87F20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025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6017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1A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23BBA-87E8-4651-9958-AC180F2003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9A99EE1-D02F-4B05-A310-DA51F813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B5E91-C277-42C0-A7BC-7FB4BE8D3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2021-06-21T13:16:00Z</dcterms:created>
  <dcterms:modified xsi:type="dcterms:W3CDTF">2021-06-21T13:16:00Z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