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4993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39875</w:t>
      </w:r>
      <w:r w:rsidR="0016666F" w:rsidRPr="006E7BAE">
        <w:t>     </w:t>
      </w:r>
    </w:p>
    <w:p w14:paraId="37C49933" w14:textId="77777777" w:rsidR="009F436C" w:rsidRPr="006E7BAE" w:rsidRDefault="009F436C" w:rsidP="00382FEC"/>
    <w:p w14:paraId="37C4993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7C49938" w14:textId="77777777" w:rsidTr="00C173B0">
        <w:tc>
          <w:tcPr>
            <w:tcW w:w="2269" w:type="pct"/>
          </w:tcPr>
          <w:p w14:paraId="37C49935" w14:textId="77777777" w:rsidR="00417FB7" w:rsidRPr="006E7BAE" w:rsidRDefault="003A2A08" w:rsidP="008262A3">
            <w:r>
              <w:t>December 2</w:t>
            </w:r>
            <w:r w:rsidR="00543EDD">
              <w:t>, 2021</w:t>
            </w:r>
          </w:p>
        </w:tc>
        <w:tc>
          <w:tcPr>
            <w:tcW w:w="381" w:type="pct"/>
          </w:tcPr>
          <w:p w14:paraId="37C49936" w14:textId="77777777" w:rsidR="00417FB7" w:rsidRPr="006E7BAE" w:rsidRDefault="00417FB7" w:rsidP="00382FEC"/>
        </w:tc>
        <w:tc>
          <w:tcPr>
            <w:tcW w:w="2350" w:type="pct"/>
          </w:tcPr>
          <w:p w14:paraId="37C49937" w14:textId="77777777" w:rsidR="00417FB7" w:rsidRPr="00D83B8C" w:rsidRDefault="00543EDD" w:rsidP="003A2A08">
            <w:pPr>
              <w:rPr>
                <w:lang w:val="en-US"/>
              </w:rPr>
            </w:pPr>
            <w:r>
              <w:t>Le 2</w:t>
            </w:r>
            <w:r w:rsidR="003A2A08">
              <w:t xml:space="preserve"> décembre </w:t>
            </w:r>
            <w:r>
              <w:t>2021</w:t>
            </w:r>
          </w:p>
        </w:tc>
      </w:tr>
      <w:tr w:rsidR="00E12A51" w:rsidRPr="006E7BAE" w14:paraId="37C499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C4993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C4993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C4993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02FF0" w14:paraId="37C4995A" w14:textId="77777777" w:rsidTr="00C173B0">
        <w:tc>
          <w:tcPr>
            <w:tcW w:w="2269" w:type="pct"/>
          </w:tcPr>
          <w:p w14:paraId="37C4993E" w14:textId="77777777" w:rsidR="00053E5A" w:rsidRDefault="003A2A08">
            <w:pPr>
              <w:pStyle w:val="SCCLsocPrefix"/>
            </w:pPr>
            <w:r>
              <w:t>BETWEEN:</w:t>
            </w:r>
          </w:p>
          <w:p w14:paraId="573E8E1F" w14:textId="77777777" w:rsidR="00443311" w:rsidRPr="00DF68F4" w:rsidRDefault="00443311" w:rsidP="00C02FF0"/>
          <w:p w14:paraId="37C4993F" w14:textId="77777777" w:rsidR="00053E5A" w:rsidRDefault="003A2A08">
            <w:pPr>
              <w:pStyle w:val="SCCLsocParty"/>
            </w:pPr>
            <w:r>
              <w:t>F.</w:t>
            </w:r>
            <w:r>
              <w:br/>
            </w:r>
          </w:p>
          <w:p w14:paraId="37C49940" w14:textId="77777777" w:rsidR="00053E5A" w:rsidRDefault="003A2A08">
            <w:pPr>
              <w:pStyle w:val="SCCLsocPartyRole"/>
            </w:pPr>
            <w:r>
              <w:t>Applicant</w:t>
            </w:r>
            <w:r>
              <w:br/>
            </w:r>
          </w:p>
          <w:p w14:paraId="37C49941" w14:textId="77777777" w:rsidR="00053E5A" w:rsidRDefault="003A2A08">
            <w:pPr>
              <w:pStyle w:val="SCCLsocVersus"/>
            </w:pPr>
            <w:r>
              <w:t>- and -</w:t>
            </w:r>
          </w:p>
          <w:p w14:paraId="37C49942" w14:textId="77777777" w:rsidR="00053E5A" w:rsidRDefault="00053E5A"/>
          <w:p w14:paraId="37C49943" w14:textId="77777777" w:rsidR="00053E5A" w:rsidRDefault="003A2A08">
            <w:pPr>
              <w:pStyle w:val="SCCLsocParty"/>
            </w:pPr>
            <w:r>
              <w:t>N.</w:t>
            </w:r>
            <w:r>
              <w:br/>
            </w:r>
          </w:p>
          <w:p w14:paraId="37C49944" w14:textId="77777777" w:rsidR="00053E5A" w:rsidRDefault="003A2A08">
            <w:pPr>
              <w:pStyle w:val="SCCLsocPartyRole"/>
            </w:pPr>
            <w:r>
              <w:t>Respondent</w:t>
            </w:r>
          </w:p>
          <w:p w14:paraId="37C49945" w14:textId="77777777" w:rsidR="00053E5A" w:rsidRDefault="00053E5A"/>
          <w:p w14:paraId="37C49946" w14:textId="77777777" w:rsidR="00053E5A" w:rsidRDefault="003A2A08">
            <w:pPr>
              <w:pStyle w:val="SCCLsocVersus"/>
            </w:pPr>
            <w:r>
              <w:t>- and -</w:t>
            </w:r>
          </w:p>
          <w:p w14:paraId="37C49947" w14:textId="77777777" w:rsidR="00053E5A" w:rsidRDefault="00053E5A"/>
          <w:p w14:paraId="37C49948" w14:textId="77777777" w:rsidR="00053E5A" w:rsidRDefault="003A2A08">
            <w:pPr>
              <w:pStyle w:val="SCCLsocParty"/>
            </w:pPr>
            <w:r>
              <w:t>Attorney General of Ontario</w:t>
            </w:r>
          </w:p>
          <w:p w14:paraId="37C49949" w14:textId="77777777" w:rsidR="00053E5A" w:rsidRDefault="00053E5A"/>
          <w:p w14:paraId="37C4994A" w14:textId="77777777" w:rsidR="00053E5A" w:rsidRDefault="003A2A08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37C4994B" w14:textId="77777777" w:rsidR="00824412" w:rsidRPr="006E7BAE" w:rsidRDefault="00824412" w:rsidP="00375294"/>
        </w:tc>
        <w:tc>
          <w:tcPr>
            <w:tcW w:w="2350" w:type="pct"/>
          </w:tcPr>
          <w:p w14:paraId="37C4994D" w14:textId="77777777" w:rsidR="00053E5A" w:rsidRDefault="003A2A08">
            <w:pPr>
              <w:pStyle w:val="SCCLsocPrefix"/>
              <w:rPr>
                <w:lang w:val="fr-CA"/>
              </w:rPr>
            </w:pPr>
            <w:r w:rsidRPr="00D00F86">
              <w:rPr>
                <w:lang w:val="fr-CA"/>
              </w:rPr>
              <w:t>ENTRE :</w:t>
            </w:r>
          </w:p>
          <w:p w14:paraId="5BAEAD63" w14:textId="77777777" w:rsidR="00443311" w:rsidRPr="00DF68F4" w:rsidRDefault="00443311" w:rsidP="00C02FF0">
            <w:pPr>
              <w:rPr>
                <w:lang w:val="fr-CA"/>
              </w:rPr>
            </w:pPr>
          </w:p>
          <w:p w14:paraId="37C4994E" w14:textId="77777777" w:rsidR="00053E5A" w:rsidRPr="00D00F86" w:rsidRDefault="003A2A08">
            <w:pPr>
              <w:pStyle w:val="SCCLsocParty"/>
              <w:rPr>
                <w:lang w:val="fr-CA"/>
              </w:rPr>
            </w:pPr>
            <w:r w:rsidRPr="00D00F86">
              <w:rPr>
                <w:lang w:val="fr-CA"/>
              </w:rPr>
              <w:t>F.</w:t>
            </w:r>
            <w:r w:rsidRPr="00D00F86">
              <w:rPr>
                <w:lang w:val="fr-CA"/>
              </w:rPr>
              <w:br/>
            </w:r>
          </w:p>
          <w:p w14:paraId="37C4994F" w14:textId="17A5AD57" w:rsidR="00053E5A" w:rsidRPr="00D00F86" w:rsidRDefault="00DF68F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3A2A08" w:rsidRPr="00D00F86">
              <w:rPr>
                <w:lang w:val="fr-CA"/>
              </w:rPr>
              <w:br/>
            </w:r>
          </w:p>
          <w:p w14:paraId="37C49950" w14:textId="77777777" w:rsidR="00053E5A" w:rsidRPr="00D00F86" w:rsidRDefault="003A2A08">
            <w:pPr>
              <w:pStyle w:val="SCCLsocVersus"/>
              <w:rPr>
                <w:lang w:val="fr-CA"/>
              </w:rPr>
            </w:pPr>
            <w:r w:rsidRPr="00D00F86">
              <w:rPr>
                <w:lang w:val="fr-CA"/>
              </w:rPr>
              <w:t>- et -</w:t>
            </w:r>
          </w:p>
          <w:p w14:paraId="37C49951" w14:textId="77777777" w:rsidR="00053E5A" w:rsidRPr="00D00F86" w:rsidRDefault="00053E5A">
            <w:pPr>
              <w:rPr>
                <w:lang w:val="fr-CA"/>
              </w:rPr>
            </w:pPr>
          </w:p>
          <w:p w14:paraId="37C49952" w14:textId="77777777" w:rsidR="00053E5A" w:rsidRPr="00D00F86" w:rsidRDefault="003A2A08">
            <w:pPr>
              <w:pStyle w:val="SCCLsocParty"/>
              <w:rPr>
                <w:lang w:val="fr-CA"/>
              </w:rPr>
            </w:pPr>
            <w:r w:rsidRPr="00D00F86">
              <w:rPr>
                <w:lang w:val="fr-CA"/>
              </w:rPr>
              <w:t>N.</w:t>
            </w:r>
            <w:r w:rsidRPr="00D00F86">
              <w:rPr>
                <w:lang w:val="fr-CA"/>
              </w:rPr>
              <w:br/>
            </w:r>
          </w:p>
          <w:p w14:paraId="37C49953" w14:textId="49F7A777" w:rsidR="00053E5A" w:rsidRPr="00D00F86" w:rsidRDefault="003A2A0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  <w:p w14:paraId="37C49954" w14:textId="77777777" w:rsidR="00053E5A" w:rsidRPr="00D00F86" w:rsidRDefault="00053E5A">
            <w:pPr>
              <w:rPr>
                <w:lang w:val="fr-CA"/>
              </w:rPr>
            </w:pPr>
          </w:p>
          <w:p w14:paraId="37C49955" w14:textId="77777777" w:rsidR="00053E5A" w:rsidRPr="00D00F86" w:rsidRDefault="003A2A08">
            <w:pPr>
              <w:pStyle w:val="SCCLsocVersus"/>
              <w:rPr>
                <w:lang w:val="fr-CA"/>
              </w:rPr>
            </w:pPr>
            <w:r w:rsidRPr="00D00F86">
              <w:rPr>
                <w:lang w:val="fr-CA"/>
              </w:rPr>
              <w:t>- et -</w:t>
            </w:r>
          </w:p>
          <w:p w14:paraId="37C49956" w14:textId="77777777" w:rsidR="00053E5A" w:rsidRPr="00D00F86" w:rsidRDefault="00053E5A">
            <w:pPr>
              <w:rPr>
                <w:lang w:val="fr-CA"/>
              </w:rPr>
            </w:pPr>
          </w:p>
          <w:p w14:paraId="37C49957" w14:textId="3CE0574C" w:rsidR="00053E5A" w:rsidRPr="00D00F86" w:rsidRDefault="003A2A08">
            <w:pPr>
              <w:pStyle w:val="SCCLsocParty"/>
              <w:rPr>
                <w:lang w:val="fr-CA"/>
              </w:rPr>
            </w:pPr>
            <w:r w:rsidRPr="00D00F86">
              <w:rPr>
                <w:lang w:val="fr-CA"/>
              </w:rPr>
              <w:t>Procureur général de l</w:t>
            </w:r>
            <w:r w:rsidR="00443311">
              <w:rPr>
                <w:lang w:val="fr-CA"/>
              </w:rPr>
              <w:t>’</w:t>
            </w:r>
            <w:r w:rsidRPr="00D00F86">
              <w:rPr>
                <w:lang w:val="fr-CA"/>
              </w:rPr>
              <w:t>Ontario</w:t>
            </w:r>
          </w:p>
          <w:p w14:paraId="37C49958" w14:textId="77777777" w:rsidR="00053E5A" w:rsidRPr="00D00F86" w:rsidRDefault="00053E5A">
            <w:pPr>
              <w:rPr>
                <w:lang w:val="fr-CA"/>
              </w:rPr>
            </w:pPr>
          </w:p>
          <w:p w14:paraId="37C49959" w14:textId="77777777" w:rsidR="00053E5A" w:rsidRPr="00C02FF0" w:rsidRDefault="003A2A08">
            <w:pPr>
              <w:pStyle w:val="SCCLsocPartyRole"/>
              <w:rPr>
                <w:lang w:val="fr-CA"/>
              </w:rPr>
            </w:pPr>
            <w:r w:rsidRPr="00C02FF0">
              <w:rPr>
                <w:lang w:val="fr-CA"/>
              </w:rPr>
              <w:t>Intervenant</w:t>
            </w:r>
          </w:p>
        </w:tc>
      </w:tr>
      <w:tr w:rsidR="00824412" w:rsidRPr="00C02FF0" w14:paraId="37C499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C4995B" w14:textId="77777777" w:rsidR="00824412" w:rsidRPr="00C02FF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C4995C" w14:textId="77777777" w:rsidR="00824412" w:rsidRPr="00C02FF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C4995D" w14:textId="77777777" w:rsidR="00824412" w:rsidRPr="00C02FF0" w:rsidRDefault="00824412" w:rsidP="00B408F8">
            <w:pPr>
              <w:rPr>
                <w:lang w:val="fr-CA"/>
              </w:rPr>
            </w:pPr>
          </w:p>
        </w:tc>
      </w:tr>
      <w:tr w:rsidR="00824412" w:rsidRPr="00E92337" w14:paraId="37C4996F" w14:textId="77777777" w:rsidTr="00C02FF0">
        <w:trPr>
          <w:trHeight w:val="2975"/>
        </w:trPr>
        <w:tc>
          <w:tcPr>
            <w:tcW w:w="2269" w:type="pct"/>
          </w:tcPr>
          <w:p w14:paraId="37C4995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7C49960" w14:textId="77777777" w:rsidR="00824412" w:rsidRPr="006E7BAE" w:rsidRDefault="00824412" w:rsidP="00417FB7">
            <w:pPr>
              <w:jc w:val="center"/>
            </w:pPr>
          </w:p>
          <w:p w14:paraId="17333443" w14:textId="77777777" w:rsidR="005349B0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3C2590">
              <w:t>C68926</w:t>
            </w:r>
            <w:r w:rsidR="003C2590" w:rsidRPr="006E7BAE">
              <w:t>,</w:t>
            </w:r>
            <w:r w:rsidR="003C2590">
              <w:t xml:space="preserve"> </w:t>
            </w:r>
            <w:r>
              <w:t xml:space="preserve">2021 ONCA 614, </w:t>
            </w:r>
            <w:r w:rsidRPr="006E7BAE">
              <w:t xml:space="preserve">dated </w:t>
            </w:r>
            <w:r>
              <w:t>September 14, 2021</w:t>
            </w:r>
            <w:r w:rsidR="003A2A08">
              <w:t>,</w:t>
            </w:r>
            <w:r w:rsidRPr="006E7BAE">
              <w:t xml:space="preserve"> is </w:t>
            </w:r>
            <w:r w:rsidR="003C2590">
              <w:t xml:space="preserve">granted with </w:t>
            </w:r>
            <w:r w:rsidR="00011960" w:rsidRPr="006E7BAE">
              <w:t>costs</w:t>
            </w:r>
            <w:r w:rsidR="003C2590">
              <w:t xml:space="preserve"> in the cause</w:t>
            </w:r>
            <w:r w:rsidRPr="00B14BCD">
              <w:t>.</w:t>
            </w:r>
            <w:r w:rsidR="003C2590" w:rsidRPr="00B14BCD">
              <w:t xml:space="preserve"> </w:t>
            </w:r>
          </w:p>
          <w:p w14:paraId="23A17A43" w14:textId="77777777" w:rsidR="005349B0" w:rsidRDefault="005349B0" w:rsidP="00011960">
            <w:pPr>
              <w:jc w:val="both"/>
            </w:pPr>
          </w:p>
          <w:p w14:paraId="37C49961" w14:textId="3C3C3E55" w:rsidR="003C2590" w:rsidRDefault="003C2590" w:rsidP="00011960">
            <w:pPr>
              <w:jc w:val="both"/>
            </w:pPr>
            <w:r w:rsidRPr="00C02FF0">
              <w:t xml:space="preserve">Leave to appeal is granted only on the issues on which Lauwers J.A. dissented in the Court of Appeal for Ontario, </w:t>
            </w:r>
            <w:r w:rsidR="0006238B">
              <w:t>specifically,</w:t>
            </w:r>
            <w:r w:rsidRPr="00C02FF0">
              <w:t xml:space="preserve"> whether the trial judge erred in the interpretation and application of ss. 23 and 40 of the </w:t>
            </w:r>
            <w:r w:rsidRPr="00C02FF0">
              <w:rPr>
                <w:i/>
              </w:rPr>
              <w:t>Children’s Law Reform Act</w:t>
            </w:r>
            <w:r w:rsidRPr="00C02FF0">
              <w:t xml:space="preserve">, </w:t>
            </w:r>
            <w:r w:rsidRPr="00C02FF0">
              <w:lastRenderedPageBreak/>
              <w:t>R.S.O. 1990, c. C.12</w:t>
            </w:r>
            <w:r w:rsidR="008210E7">
              <w:t xml:space="preserve">, and the relevance </w:t>
            </w:r>
            <w:r w:rsidR="0006238B">
              <w:t xml:space="preserve">thereto </w:t>
            </w:r>
            <w:r w:rsidR="008210E7">
              <w:t>of the “best interests of the child” principle</w:t>
            </w:r>
            <w:r w:rsidRPr="00C02FF0">
              <w:t>.</w:t>
            </w:r>
            <w:r>
              <w:t xml:space="preserve"> </w:t>
            </w:r>
          </w:p>
          <w:p w14:paraId="37C49962" w14:textId="77777777" w:rsidR="003C2590" w:rsidRDefault="003C2590" w:rsidP="00011960">
            <w:pPr>
              <w:jc w:val="both"/>
            </w:pPr>
          </w:p>
          <w:p w14:paraId="5AA6D9CE" w14:textId="77777777" w:rsidR="00D6550A" w:rsidRDefault="00D6550A" w:rsidP="00011960">
            <w:pPr>
              <w:jc w:val="both"/>
            </w:pPr>
          </w:p>
          <w:p w14:paraId="37C49963" w14:textId="77FDA58A" w:rsidR="003C2590" w:rsidRDefault="003C2590" w:rsidP="003C2590">
            <w:pPr>
              <w:jc w:val="both"/>
            </w:pPr>
            <w:r w:rsidRPr="003C2590">
              <w:t xml:space="preserve">The </w:t>
            </w:r>
            <w:r w:rsidR="00BD4F88">
              <w:t>hearing of the appeal will be expedited and will be heard</w:t>
            </w:r>
            <w:r>
              <w:t xml:space="preserve"> </w:t>
            </w:r>
            <w:r w:rsidR="00BD4F88">
              <w:t>on March 25, 202</w:t>
            </w:r>
            <w:r w:rsidR="00E92337">
              <w:t>2</w:t>
            </w:r>
            <w:r w:rsidR="00BD4F88">
              <w:t xml:space="preserve">. </w:t>
            </w:r>
            <w:r>
              <w:t xml:space="preserve">The schedule for serving and filing </w:t>
            </w:r>
            <w:r w:rsidR="00DF68F4">
              <w:t xml:space="preserve">the appeal documents </w:t>
            </w:r>
            <w:r>
              <w:t>will be set by the Acting Registrar.</w:t>
            </w:r>
          </w:p>
          <w:p w14:paraId="37C49964" w14:textId="77777777" w:rsidR="003C2590" w:rsidRDefault="003C2590" w:rsidP="003C2590">
            <w:pPr>
              <w:jc w:val="both"/>
            </w:pPr>
          </w:p>
          <w:p w14:paraId="37C49966" w14:textId="5FF9F99B" w:rsidR="003F6511" w:rsidRDefault="008E08C7" w:rsidP="00011960">
            <w:pPr>
              <w:jc w:val="both"/>
            </w:pPr>
            <w:r w:rsidRPr="008E08C7">
              <w:t xml:space="preserve">Pursuant to s. 65.1(3) of the </w:t>
            </w:r>
            <w:r w:rsidRPr="008E08C7">
              <w:rPr>
                <w:i/>
              </w:rPr>
              <w:t>Supreme Court Act</w:t>
            </w:r>
            <w:r w:rsidRPr="008E08C7">
              <w:t xml:space="preserve">, </w:t>
            </w:r>
            <w:r>
              <w:t xml:space="preserve">R.S.C., 1985, c. S-26, </w:t>
            </w:r>
            <w:r w:rsidRPr="008E08C7">
              <w:t xml:space="preserve">paragraph 1 of the order of the Court of Appeal for Ontario dated October </w:t>
            </w:r>
            <w:r w:rsidR="00630FDF">
              <w:t>1</w:t>
            </w:r>
            <w:r w:rsidRPr="008E08C7">
              <w:t xml:space="preserve">, 2021, is varied, and the stay of </w:t>
            </w:r>
            <w:r w:rsidR="005B229C">
              <w:t>execution</w:t>
            </w:r>
            <w:r w:rsidRPr="008E08C7">
              <w:t xml:space="preserve"> remains in force pending the disposition of this Court on the appeal</w:t>
            </w:r>
            <w:r w:rsidR="00200A6D">
              <w:t>.</w:t>
            </w:r>
          </w:p>
          <w:p w14:paraId="37C4996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7C4996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7C4996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7C4996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7C4996B" w14:textId="77777777" w:rsidR="003F6511" w:rsidRDefault="00824412" w:rsidP="003C259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00F8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3C2590" w:rsidRPr="00D00F86">
              <w:rPr>
                <w:lang w:val="fr-CA"/>
              </w:rPr>
              <w:t>C68926</w:t>
            </w:r>
            <w:r w:rsidR="003C2590" w:rsidRPr="006E7BAE">
              <w:rPr>
                <w:lang w:val="fr-CA"/>
              </w:rPr>
              <w:t xml:space="preserve">, </w:t>
            </w:r>
            <w:r w:rsidRPr="00D00F86">
              <w:rPr>
                <w:lang w:val="fr-CA"/>
              </w:rPr>
              <w:t xml:space="preserve">2021 ONCA 614,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00F86">
              <w:rPr>
                <w:lang w:val="fr-CA"/>
              </w:rPr>
              <w:t>14 septembre 2021</w:t>
            </w:r>
            <w:r w:rsidRPr="006E7BAE">
              <w:rPr>
                <w:lang w:val="fr-CA"/>
              </w:rPr>
              <w:t xml:space="preserve">, est </w:t>
            </w:r>
            <w:r w:rsidR="003C2590">
              <w:rPr>
                <w:lang w:val="fr-CA"/>
              </w:rPr>
              <w:t xml:space="preserve">accueillie avec </w:t>
            </w:r>
            <w:r w:rsidR="00011960" w:rsidRPr="006E7BAE">
              <w:rPr>
                <w:lang w:val="fr-CA"/>
              </w:rPr>
              <w:t>dépens</w:t>
            </w:r>
            <w:r w:rsidR="003C2590">
              <w:rPr>
                <w:lang w:val="fr-CA"/>
              </w:rPr>
              <w:t xml:space="preserve"> suivant l’issue de la cause. </w:t>
            </w:r>
          </w:p>
          <w:p w14:paraId="37C4996C" w14:textId="77777777" w:rsidR="003C2590" w:rsidRDefault="003C2590" w:rsidP="003C2590">
            <w:pPr>
              <w:jc w:val="both"/>
              <w:rPr>
                <w:lang w:val="fr-CA"/>
              </w:rPr>
            </w:pPr>
          </w:p>
          <w:p w14:paraId="43733607" w14:textId="153D3E0E" w:rsidR="001F2C55" w:rsidRPr="001F2C55" w:rsidRDefault="001F2C55" w:rsidP="001F2C55">
            <w:pPr>
              <w:jc w:val="both"/>
              <w:rPr>
                <w:lang w:val="fr-CA"/>
              </w:rPr>
            </w:pPr>
            <w:r w:rsidRPr="001F2C55">
              <w:rPr>
                <w:lang w:val="fr-CA"/>
              </w:rPr>
              <w:t>L’autorisation d’interjeter appel est accordée uniquement en ce qui a trait aux questions qui ont fait l’objet de la dissidence du juge Lauwers de la Cour d’appel de l’Ontario</w:t>
            </w:r>
            <w:r w:rsidR="00703C17">
              <w:rPr>
                <w:lang w:val="fr-CA"/>
              </w:rPr>
              <w:t xml:space="preserve"> —</w:t>
            </w:r>
            <w:r w:rsidR="00703C17" w:rsidRPr="001F2C55">
              <w:rPr>
                <w:lang w:val="fr-CA"/>
              </w:rPr>
              <w:t xml:space="preserve"> </w:t>
            </w:r>
            <w:r w:rsidR="00703C17">
              <w:rPr>
                <w:lang w:val="fr-CA"/>
              </w:rPr>
              <w:t>plus précisément,</w:t>
            </w:r>
            <w:r w:rsidRPr="001F2C55">
              <w:rPr>
                <w:lang w:val="fr-CA"/>
              </w:rPr>
              <w:t xml:space="preserve"> </w:t>
            </w:r>
            <w:r w:rsidR="00B85E14">
              <w:rPr>
                <w:lang w:val="fr-CA"/>
              </w:rPr>
              <w:t>la question</w:t>
            </w:r>
            <w:r w:rsidRPr="001F2C55">
              <w:rPr>
                <w:lang w:val="fr-CA"/>
              </w:rPr>
              <w:t xml:space="preserve"> de savoir si le juge du procès a mal interprété et appliqué </w:t>
            </w:r>
            <w:r w:rsidR="008210E7">
              <w:rPr>
                <w:lang w:val="fr-CA"/>
              </w:rPr>
              <w:lastRenderedPageBreak/>
              <w:t>les</w:t>
            </w:r>
            <w:r w:rsidRPr="001F2C55">
              <w:rPr>
                <w:lang w:val="fr-CA"/>
              </w:rPr>
              <w:t xml:space="preserve"> art. 23 et 40 de la </w:t>
            </w:r>
            <w:r w:rsidRPr="00C02FF0">
              <w:rPr>
                <w:i/>
                <w:lang w:val="fr-CA"/>
              </w:rPr>
              <w:t>Loi portant réforme du droit de l’enfance</w:t>
            </w:r>
            <w:r w:rsidRPr="001F2C55">
              <w:rPr>
                <w:lang w:val="fr-CA"/>
              </w:rPr>
              <w:t>, L.R.O. 1990, c. C. 12</w:t>
            </w:r>
            <w:r w:rsidR="008210E7">
              <w:rPr>
                <w:lang w:val="fr-CA"/>
              </w:rPr>
              <w:t>, et la pertinence du principe de l’« intérêt véritable de l’enfant »</w:t>
            </w:r>
            <w:r w:rsidR="00703C17">
              <w:rPr>
                <w:lang w:val="fr-CA"/>
              </w:rPr>
              <w:t xml:space="preserve"> pour cette question</w:t>
            </w:r>
            <w:r w:rsidRPr="001F2C55">
              <w:rPr>
                <w:lang w:val="fr-CA"/>
              </w:rPr>
              <w:t>.</w:t>
            </w:r>
          </w:p>
          <w:p w14:paraId="35EC78FE" w14:textId="77777777" w:rsidR="001F2C55" w:rsidRPr="001F2C55" w:rsidRDefault="001F2C55" w:rsidP="001F2C55">
            <w:pPr>
              <w:jc w:val="both"/>
              <w:rPr>
                <w:lang w:val="fr-CA"/>
              </w:rPr>
            </w:pPr>
          </w:p>
          <w:p w14:paraId="11A29406" w14:textId="096F4003" w:rsidR="008E08C7" w:rsidRPr="008E08C7" w:rsidRDefault="00BD4F88" w:rsidP="008E08C7">
            <w:pPr>
              <w:jc w:val="both"/>
              <w:rPr>
                <w:lang w:val="fr-CA"/>
              </w:rPr>
            </w:pPr>
            <w:r w:rsidRPr="00BD4F88">
              <w:rPr>
                <w:lang w:val="fr-CA"/>
              </w:rPr>
              <w:t>L’aud</w:t>
            </w:r>
            <w:r>
              <w:rPr>
                <w:lang w:val="fr-CA"/>
              </w:rPr>
              <w:t xml:space="preserve">ition de l’appel sera accélérée et </w:t>
            </w:r>
            <w:r w:rsidR="00703C17">
              <w:rPr>
                <w:lang w:val="fr-CA"/>
              </w:rPr>
              <w:t xml:space="preserve">l’appel </w:t>
            </w:r>
            <w:r>
              <w:rPr>
                <w:lang w:val="fr-CA"/>
              </w:rPr>
              <w:t>sera entendu le 25 mars 202</w:t>
            </w:r>
            <w:r w:rsidR="00E92337">
              <w:rPr>
                <w:lang w:val="fr-CA"/>
              </w:rPr>
              <w:t>2</w:t>
            </w:r>
            <w:bookmarkStart w:id="1" w:name="_GoBack"/>
            <w:bookmarkEnd w:id="1"/>
            <w:r>
              <w:rPr>
                <w:lang w:val="fr-CA"/>
              </w:rPr>
              <w:t>.</w:t>
            </w:r>
            <w:r w:rsidR="001F2C55" w:rsidRPr="001F2C55">
              <w:rPr>
                <w:lang w:val="fr-CA"/>
              </w:rPr>
              <w:t xml:space="preserve"> Le calendrier de signification et de dépôt des documents </w:t>
            </w:r>
            <w:r w:rsidR="00DF68F4">
              <w:rPr>
                <w:lang w:val="fr-CA"/>
              </w:rPr>
              <w:t xml:space="preserve">d’appel </w:t>
            </w:r>
            <w:r w:rsidR="001F2C55" w:rsidRPr="001F2C55">
              <w:rPr>
                <w:lang w:val="fr-CA"/>
              </w:rPr>
              <w:t>sera établi par</w:t>
            </w:r>
            <w:r w:rsidR="001F2C55">
              <w:rPr>
                <w:lang w:val="fr-CA"/>
              </w:rPr>
              <w:t xml:space="preserve"> le registraire </w:t>
            </w:r>
            <w:r w:rsidR="008E08C7" w:rsidRPr="008E08C7">
              <w:rPr>
                <w:lang w:val="fr-CA"/>
              </w:rPr>
              <w:t>par intérim</w:t>
            </w:r>
            <w:r w:rsidR="008E08C7">
              <w:rPr>
                <w:lang w:val="fr-CA"/>
              </w:rPr>
              <w:t>.</w:t>
            </w:r>
          </w:p>
          <w:p w14:paraId="42A22614" w14:textId="77777777" w:rsidR="008E08C7" w:rsidRDefault="008E08C7" w:rsidP="008E08C7">
            <w:pPr>
              <w:jc w:val="both"/>
              <w:rPr>
                <w:lang w:val="fr-CA"/>
              </w:rPr>
            </w:pPr>
          </w:p>
          <w:p w14:paraId="109C7B64" w14:textId="4956C467" w:rsidR="008E08C7" w:rsidRPr="008E08C7" w:rsidRDefault="008E08C7" w:rsidP="008E08C7">
            <w:pPr>
              <w:jc w:val="both"/>
              <w:rPr>
                <w:rFonts w:eastAsia="Times New Roman"/>
                <w:lang w:val="fr-CA"/>
              </w:rPr>
            </w:pPr>
            <w:r w:rsidRPr="008E08C7">
              <w:rPr>
                <w:rFonts w:eastAsia="Times New Roman"/>
                <w:lang w:val="fr-CA"/>
              </w:rPr>
              <w:t xml:space="preserve">En vertu du par. 65.1(3) de la </w:t>
            </w:r>
            <w:r w:rsidRPr="008E08C7">
              <w:rPr>
                <w:rFonts w:eastAsia="Times New Roman"/>
                <w:i/>
                <w:lang w:val="fr-CA"/>
              </w:rPr>
              <w:t>Loi sur la Cour suprême</w:t>
            </w:r>
            <w:r w:rsidRPr="008E08C7">
              <w:rPr>
                <w:rFonts w:eastAsia="Times New Roman"/>
                <w:lang w:val="fr-CA"/>
              </w:rPr>
              <w:t>,</w:t>
            </w:r>
            <w:r>
              <w:rPr>
                <w:rFonts w:eastAsia="Times New Roman"/>
                <w:lang w:val="fr-CA"/>
              </w:rPr>
              <w:t xml:space="preserve"> L.R.C. 1985, ch. S-26,</w:t>
            </w:r>
            <w:r w:rsidRPr="008E08C7">
              <w:rPr>
                <w:rFonts w:eastAsia="Times New Roman"/>
                <w:lang w:val="fr-CA"/>
              </w:rPr>
              <w:t xml:space="preserve"> le paragraphe 1 de l’ordonnance de la Cour d’appel de l’Ontario datée du </w:t>
            </w:r>
            <w:r w:rsidR="00630FDF">
              <w:rPr>
                <w:rFonts w:eastAsia="Times New Roman"/>
                <w:lang w:val="fr-CA"/>
              </w:rPr>
              <w:t>1</w:t>
            </w:r>
            <w:r w:rsidR="00630FDF" w:rsidRPr="00FD7FDE">
              <w:rPr>
                <w:rFonts w:eastAsia="Times New Roman"/>
                <w:vertAlign w:val="superscript"/>
                <w:lang w:val="fr-CA"/>
              </w:rPr>
              <w:t>er</w:t>
            </w:r>
            <w:r w:rsidR="00630FDF">
              <w:rPr>
                <w:rFonts w:eastAsia="Times New Roman"/>
                <w:lang w:val="fr-CA"/>
              </w:rPr>
              <w:t xml:space="preserve"> </w:t>
            </w:r>
            <w:r w:rsidRPr="008E08C7">
              <w:rPr>
                <w:rFonts w:eastAsia="Times New Roman"/>
                <w:lang w:val="fr-CA"/>
              </w:rPr>
              <w:t>octobre 2021 est modifié, et le sursis d’exécution demeure en vigueur jusqu’à ce que la Cour suprême ait statué sur l’appel.</w:t>
            </w:r>
          </w:p>
          <w:p w14:paraId="37C4996E" w14:textId="2E21FD9F" w:rsidR="003C2590" w:rsidRPr="008E08C7" w:rsidRDefault="003C2590" w:rsidP="008E08C7">
            <w:pPr>
              <w:jc w:val="both"/>
              <w:rPr>
                <w:lang w:val="fr-CA"/>
              </w:rPr>
            </w:pPr>
          </w:p>
        </w:tc>
      </w:tr>
    </w:tbl>
    <w:p w14:paraId="37C49970" w14:textId="77777777" w:rsidR="009F436C" w:rsidRDefault="009F436C" w:rsidP="00382FEC">
      <w:pPr>
        <w:rPr>
          <w:lang w:val="fr-CA"/>
        </w:rPr>
      </w:pPr>
    </w:p>
    <w:p w14:paraId="5371ABBF" w14:textId="77777777" w:rsidR="008E08C7" w:rsidRPr="008E08C7" w:rsidRDefault="008E08C7" w:rsidP="00382FEC">
      <w:pPr>
        <w:rPr>
          <w:lang w:val="fr-CA"/>
        </w:rPr>
      </w:pPr>
    </w:p>
    <w:p w14:paraId="37C49971" w14:textId="77777777" w:rsidR="009F436C" w:rsidRPr="008E08C7" w:rsidRDefault="009F436C" w:rsidP="00417FB7">
      <w:pPr>
        <w:jc w:val="center"/>
        <w:rPr>
          <w:lang w:val="fr-CA"/>
        </w:rPr>
      </w:pPr>
    </w:p>
    <w:p w14:paraId="37C49972" w14:textId="77777777" w:rsidR="009F436C" w:rsidRPr="008E08C7" w:rsidRDefault="009F436C" w:rsidP="00417FB7">
      <w:pPr>
        <w:jc w:val="center"/>
        <w:rPr>
          <w:lang w:val="fr-CA"/>
        </w:rPr>
      </w:pPr>
    </w:p>
    <w:p w14:paraId="37C4997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7C49974" w14:textId="77777777" w:rsidR="003A37CF" w:rsidRPr="00D83B8C" w:rsidRDefault="003A37CF" w:rsidP="003A2A0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49977" w14:textId="77777777" w:rsidR="00983D48" w:rsidRDefault="00983D48">
      <w:r>
        <w:separator/>
      </w:r>
    </w:p>
  </w:endnote>
  <w:endnote w:type="continuationSeparator" w:id="0">
    <w:p w14:paraId="37C4997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49975" w14:textId="77777777" w:rsidR="00983D48" w:rsidRDefault="00983D48">
      <w:r>
        <w:separator/>
      </w:r>
    </w:p>
  </w:footnote>
  <w:footnote w:type="continuationSeparator" w:id="0">
    <w:p w14:paraId="37C4997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4997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9233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7C4997A" w14:textId="77777777" w:rsidR="008F53F3" w:rsidRDefault="008F53F3" w:rsidP="008F53F3">
    <w:pPr>
      <w:rPr>
        <w:szCs w:val="24"/>
      </w:rPr>
    </w:pPr>
  </w:p>
  <w:p w14:paraId="37C4997B" w14:textId="77777777" w:rsidR="008F53F3" w:rsidRDefault="008F53F3" w:rsidP="008F53F3">
    <w:pPr>
      <w:rPr>
        <w:szCs w:val="24"/>
      </w:rPr>
    </w:pPr>
  </w:p>
  <w:p w14:paraId="37C4997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39875</w:t>
    </w:r>
    <w:r>
      <w:rPr>
        <w:szCs w:val="24"/>
      </w:rPr>
      <w:t>     </w:t>
    </w:r>
  </w:p>
  <w:p w14:paraId="37C4997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7C4997E" w14:textId="77777777" w:rsidR="0073151A" w:rsidRDefault="0073151A" w:rsidP="0073151A"/>
      <w:p w14:paraId="37C4997F" w14:textId="77777777" w:rsidR="0073151A" w:rsidRPr="006E7BAE" w:rsidRDefault="0073151A" w:rsidP="0073151A"/>
      <w:p w14:paraId="37C49980" w14:textId="77777777" w:rsidR="0073151A" w:rsidRPr="006E7BAE" w:rsidRDefault="0073151A" w:rsidP="0073151A"/>
      <w:p w14:paraId="37C49981" w14:textId="77777777" w:rsidR="0073151A" w:rsidRPr="006E7BAE" w:rsidRDefault="0073151A" w:rsidP="0073151A"/>
      <w:p w14:paraId="37C49982" w14:textId="77777777" w:rsidR="0073151A" w:rsidRDefault="0073151A" w:rsidP="0073151A"/>
      <w:p w14:paraId="37C49983" w14:textId="77777777" w:rsidR="0073151A" w:rsidRDefault="0073151A" w:rsidP="0073151A"/>
      <w:p w14:paraId="37C49984" w14:textId="77777777" w:rsidR="0073151A" w:rsidRDefault="0073151A" w:rsidP="0073151A"/>
      <w:p w14:paraId="37C49985" w14:textId="77777777" w:rsidR="0073151A" w:rsidRDefault="0073151A" w:rsidP="0073151A"/>
      <w:p w14:paraId="37C49986" w14:textId="77777777" w:rsidR="0073151A" w:rsidRDefault="0073151A" w:rsidP="0073151A"/>
      <w:p w14:paraId="37C49987" w14:textId="77777777" w:rsidR="0073151A" w:rsidRPr="006E7BAE" w:rsidRDefault="0073151A" w:rsidP="0073151A"/>
      <w:p w14:paraId="37C49988" w14:textId="77777777" w:rsidR="00ED265D" w:rsidRPr="0073151A" w:rsidRDefault="00E9233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3E5A"/>
    <w:rsid w:val="00054D01"/>
    <w:rsid w:val="00057FAF"/>
    <w:rsid w:val="0006238B"/>
    <w:rsid w:val="00074657"/>
    <w:rsid w:val="00091327"/>
    <w:rsid w:val="000919B4"/>
    <w:rsid w:val="000B4AA7"/>
    <w:rsid w:val="000B76FF"/>
    <w:rsid w:val="000C5AF7"/>
    <w:rsid w:val="000D2F2B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2C55"/>
    <w:rsid w:val="00200A6D"/>
    <w:rsid w:val="00203642"/>
    <w:rsid w:val="00212BA0"/>
    <w:rsid w:val="002172B9"/>
    <w:rsid w:val="002523DE"/>
    <w:rsid w:val="002568D3"/>
    <w:rsid w:val="0027284C"/>
    <w:rsid w:val="002B5FA6"/>
    <w:rsid w:val="002C6423"/>
    <w:rsid w:val="002D2D44"/>
    <w:rsid w:val="002D3430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2A08"/>
    <w:rsid w:val="003A37CF"/>
    <w:rsid w:val="003B1F3D"/>
    <w:rsid w:val="003C2590"/>
    <w:rsid w:val="003D3551"/>
    <w:rsid w:val="003F6511"/>
    <w:rsid w:val="00410EDC"/>
    <w:rsid w:val="00414694"/>
    <w:rsid w:val="00417FB7"/>
    <w:rsid w:val="0042783F"/>
    <w:rsid w:val="00443311"/>
    <w:rsid w:val="004943CF"/>
    <w:rsid w:val="004956DA"/>
    <w:rsid w:val="004D4658"/>
    <w:rsid w:val="005349B0"/>
    <w:rsid w:val="00543EDD"/>
    <w:rsid w:val="0055345D"/>
    <w:rsid w:val="00563E2C"/>
    <w:rsid w:val="00587869"/>
    <w:rsid w:val="005B229C"/>
    <w:rsid w:val="00612913"/>
    <w:rsid w:val="00614908"/>
    <w:rsid w:val="00630FDF"/>
    <w:rsid w:val="00650109"/>
    <w:rsid w:val="006E7BAE"/>
    <w:rsid w:val="00701109"/>
    <w:rsid w:val="00703C17"/>
    <w:rsid w:val="0073151A"/>
    <w:rsid w:val="007372EA"/>
    <w:rsid w:val="00777612"/>
    <w:rsid w:val="0079129C"/>
    <w:rsid w:val="007917FE"/>
    <w:rsid w:val="007A54CC"/>
    <w:rsid w:val="007C5DE8"/>
    <w:rsid w:val="007E68C7"/>
    <w:rsid w:val="007F0A28"/>
    <w:rsid w:val="00804BE2"/>
    <w:rsid w:val="00816B78"/>
    <w:rsid w:val="008210E7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08C7"/>
    <w:rsid w:val="008F376B"/>
    <w:rsid w:val="008F53F3"/>
    <w:rsid w:val="009305BF"/>
    <w:rsid w:val="00951EF6"/>
    <w:rsid w:val="0096638C"/>
    <w:rsid w:val="00971A08"/>
    <w:rsid w:val="00976CAD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4BCD"/>
    <w:rsid w:val="00B158E3"/>
    <w:rsid w:val="00B328CD"/>
    <w:rsid w:val="00B408F8"/>
    <w:rsid w:val="00B5078E"/>
    <w:rsid w:val="00B60EDC"/>
    <w:rsid w:val="00B85E14"/>
    <w:rsid w:val="00BC39BE"/>
    <w:rsid w:val="00BD4E4C"/>
    <w:rsid w:val="00BD4F88"/>
    <w:rsid w:val="00BF7644"/>
    <w:rsid w:val="00C02FF0"/>
    <w:rsid w:val="00C1285B"/>
    <w:rsid w:val="00C159C9"/>
    <w:rsid w:val="00C173B0"/>
    <w:rsid w:val="00C17F71"/>
    <w:rsid w:val="00C2612E"/>
    <w:rsid w:val="00C8079B"/>
    <w:rsid w:val="00CB2B73"/>
    <w:rsid w:val="00CE249F"/>
    <w:rsid w:val="00CF17D0"/>
    <w:rsid w:val="00D00F86"/>
    <w:rsid w:val="00D42339"/>
    <w:rsid w:val="00D61AC2"/>
    <w:rsid w:val="00D6550A"/>
    <w:rsid w:val="00D83B8C"/>
    <w:rsid w:val="00DA4281"/>
    <w:rsid w:val="00DB1ADC"/>
    <w:rsid w:val="00DD4332"/>
    <w:rsid w:val="00DF68F4"/>
    <w:rsid w:val="00E12A51"/>
    <w:rsid w:val="00E50C65"/>
    <w:rsid w:val="00E736B9"/>
    <w:rsid w:val="00E777AD"/>
    <w:rsid w:val="00E92337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D7FDE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7C49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14306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52111-7EC6-4E9F-B4E3-F79FD4B3A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0A87A-088F-4887-A1FA-A88BAFECB07D}">
  <ds:schemaRefs>
    <ds:schemaRef ds:uri="http://purl.org/dc/terms/"/>
    <ds:schemaRef ds:uri="40ae4924-d04e-473c-aafa-3657aad971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20FCEA-DD9B-40CB-8BAE-4433A8EAD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2021-12-01T21:52:00Z</dcterms:created>
  <dcterms:modified xsi:type="dcterms:W3CDTF">2021-12-01T23:50:00Z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