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6F822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39963</w:t>
      </w:r>
      <w:r w:rsidR="0016666F" w:rsidRPr="006E7BAE">
        <w:t>     </w:t>
      </w:r>
    </w:p>
    <w:bookmarkEnd w:id="0"/>
    <w:p w14:paraId="1786F823" w14:textId="77777777" w:rsidR="009F436C" w:rsidRPr="006E7BAE" w:rsidRDefault="009F436C" w:rsidP="00382FEC"/>
    <w:p w14:paraId="1786F82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86F828" w14:textId="77777777" w:rsidTr="00C173B0">
        <w:tc>
          <w:tcPr>
            <w:tcW w:w="2269" w:type="pct"/>
          </w:tcPr>
          <w:p w14:paraId="1786F825" w14:textId="64AE1BBF" w:rsidR="00417FB7" w:rsidRPr="006E7BAE" w:rsidRDefault="00E82BA9" w:rsidP="00E82BA9">
            <w:r>
              <w:t>April 14</w:t>
            </w:r>
            <w:r w:rsidR="00543EDD">
              <w:t>, 2022</w:t>
            </w:r>
          </w:p>
        </w:tc>
        <w:tc>
          <w:tcPr>
            <w:tcW w:w="381" w:type="pct"/>
          </w:tcPr>
          <w:p w14:paraId="1786F826" w14:textId="77777777" w:rsidR="00417FB7" w:rsidRPr="006E7BAE" w:rsidRDefault="00417FB7" w:rsidP="00382FEC"/>
        </w:tc>
        <w:tc>
          <w:tcPr>
            <w:tcW w:w="2350" w:type="pct"/>
          </w:tcPr>
          <w:p w14:paraId="1786F827" w14:textId="5F708BB4" w:rsidR="00417FB7" w:rsidRPr="00D83B8C" w:rsidRDefault="00543EDD">
            <w:pPr>
              <w:rPr>
                <w:lang w:val="en-US"/>
              </w:rPr>
            </w:pPr>
            <w:r>
              <w:t>Le 1</w:t>
            </w:r>
            <w:r w:rsidR="00E82BA9">
              <w:t>4</w:t>
            </w:r>
            <w:r>
              <w:t xml:space="preserve"> </w:t>
            </w:r>
            <w:r w:rsidR="00E82BA9">
              <w:t>avril</w:t>
            </w:r>
            <w:r>
              <w:t xml:space="preserve"> 2022</w:t>
            </w:r>
          </w:p>
        </w:tc>
      </w:tr>
      <w:tr w:rsidR="00E12A51" w:rsidRPr="006E7BAE" w14:paraId="1786F82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86F82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86F82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86F82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786F840" w14:textId="77777777" w:rsidTr="00C173B0">
        <w:tc>
          <w:tcPr>
            <w:tcW w:w="2269" w:type="pct"/>
          </w:tcPr>
          <w:p w14:paraId="1786F82D" w14:textId="77777777" w:rsidR="00FF4751" w:rsidRDefault="00FF4751"/>
          <w:p w14:paraId="1786F82E" w14:textId="77777777" w:rsidR="00FF4751" w:rsidRDefault="00E92521">
            <w:pPr>
              <w:pStyle w:val="SCCLsocPrefix"/>
            </w:pPr>
            <w:r>
              <w:t>BETWEEN:</w:t>
            </w:r>
          </w:p>
          <w:p w14:paraId="1786F82F" w14:textId="77777777" w:rsidR="00AE0544" w:rsidRPr="00AE0544" w:rsidRDefault="00AE0544" w:rsidP="00AE0544"/>
          <w:p w14:paraId="1786F830" w14:textId="7BAC5A2B" w:rsidR="00FF4751" w:rsidRDefault="00E92521">
            <w:pPr>
              <w:pStyle w:val="SCCLsocParty"/>
            </w:pPr>
            <w:r>
              <w:t>Jean-Pierre N. Asfar</w:t>
            </w:r>
            <w:r w:rsidR="00E82BA9">
              <w:t xml:space="preserve"> and</w:t>
            </w:r>
            <w:r>
              <w:t xml:space="preserve"> Equity Cheque Card Corporation Limited</w:t>
            </w:r>
            <w:r>
              <w:br/>
            </w:r>
          </w:p>
          <w:p w14:paraId="1786F831" w14:textId="77777777" w:rsidR="00FF4751" w:rsidRDefault="00E92521">
            <w:pPr>
              <w:pStyle w:val="SCCLsocPartyRole"/>
            </w:pPr>
            <w:r>
              <w:t>Applicants</w:t>
            </w:r>
            <w:r>
              <w:br/>
            </w:r>
          </w:p>
          <w:p w14:paraId="1786F832" w14:textId="77777777" w:rsidR="00FF4751" w:rsidRDefault="00E92521">
            <w:pPr>
              <w:pStyle w:val="SCCLsocVersus"/>
            </w:pPr>
            <w:r>
              <w:t>- and -</w:t>
            </w:r>
          </w:p>
          <w:p w14:paraId="1786F833" w14:textId="77777777" w:rsidR="00FF4751" w:rsidRDefault="00FF4751"/>
          <w:p w14:paraId="1786F834" w14:textId="1E0C2566" w:rsidR="00FF4751" w:rsidRDefault="00E92521">
            <w:pPr>
              <w:pStyle w:val="SCCLsocParty"/>
            </w:pPr>
            <w:r>
              <w:t>Sun Life Assurance Company of Canada, Sun Life Financial Inc.</w:t>
            </w:r>
            <w:r w:rsidR="00E82BA9">
              <w:t xml:space="preserve"> and</w:t>
            </w:r>
            <w:r>
              <w:t xml:space="preserve"> Sun Life Financial Canada</w:t>
            </w:r>
            <w:r>
              <w:br/>
            </w:r>
          </w:p>
          <w:p w14:paraId="1786F835" w14:textId="77777777" w:rsidR="00FF4751" w:rsidRDefault="00E9252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786F836" w14:textId="77777777" w:rsidR="00824412" w:rsidRPr="006E7BAE" w:rsidRDefault="00824412" w:rsidP="00375294"/>
        </w:tc>
        <w:tc>
          <w:tcPr>
            <w:tcW w:w="2350" w:type="pct"/>
          </w:tcPr>
          <w:p w14:paraId="1786F837" w14:textId="77777777" w:rsidR="00FF4751" w:rsidRPr="00E92521" w:rsidRDefault="00FF4751">
            <w:pPr>
              <w:rPr>
                <w:lang w:val="fr-CA"/>
              </w:rPr>
            </w:pPr>
          </w:p>
          <w:p w14:paraId="1786F838" w14:textId="77777777" w:rsidR="00FF4751" w:rsidRDefault="00E92521">
            <w:pPr>
              <w:pStyle w:val="SCCLsocPrefix"/>
              <w:rPr>
                <w:lang w:val="fr-CA"/>
              </w:rPr>
            </w:pPr>
            <w:r w:rsidRPr="00E92521">
              <w:rPr>
                <w:lang w:val="fr-CA"/>
              </w:rPr>
              <w:t>ENTRE :</w:t>
            </w:r>
          </w:p>
          <w:p w14:paraId="1786F839" w14:textId="77777777" w:rsidR="00AE0544" w:rsidRPr="00AE0544" w:rsidRDefault="00AE0544" w:rsidP="00AE0544">
            <w:pPr>
              <w:rPr>
                <w:lang w:val="fr-CA"/>
              </w:rPr>
            </w:pPr>
          </w:p>
          <w:p w14:paraId="1786F83A" w14:textId="5303849C" w:rsidR="00FF4751" w:rsidRPr="00E92521" w:rsidRDefault="00E92521">
            <w:pPr>
              <w:pStyle w:val="SCCLsocParty"/>
              <w:rPr>
                <w:lang w:val="fr-CA"/>
              </w:rPr>
            </w:pPr>
            <w:r w:rsidRPr="00E92521">
              <w:rPr>
                <w:lang w:val="fr-CA"/>
              </w:rPr>
              <w:t>Jean-Pierre N. Asfar</w:t>
            </w:r>
            <w:r w:rsidR="00E82BA9">
              <w:rPr>
                <w:lang w:val="fr-CA"/>
              </w:rPr>
              <w:t xml:space="preserve"> et</w:t>
            </w:r>
            <w:r w:rsidRPr="00E92521">
              <w:rPr>
                <w:lang w:val="fr-CA"/>
              </w:rPr>
              <w:t xml:space="preserve"> Equity Cheque Card Corporation Limited</w:t>
            </w:r>
            <w:r w:rsidRPr="00E92521">
              <w:rPr>
                <w:lang w:val="fr-CA"/>
              </w:rPr>
              <w:br/>
            </w:r>
          </w:p>
          <w:p w14:paraId="1786F83B" w14:textId="77777777" w:rsidR="00FF4751" w:rsidRPr="00E92521" w:rsidRDefault="00E92521">
            <w:pPr>
              <w:pStyle w:val="SCCLsocPartyRole"/>
              <w:rPr>
                <w:lang w:val="fr-CA"/>
              </w:rPr>
            </w:pPr>
            <w:r w:rsidRPr="00E92521">
              <w:rPr>
                <w:lang w:val="fr-CA"/>
              </w:rPr>
              <w:t>Demandeurs</w:t>
            </w:r>
            <w:r w:rsidRPr="00E92521">
              <w:rPr>
                <w:lang w:val="fr-CA"/>
              </w:rPr>
              <w:br/>
            </w:r>
          </w:p>
          <w:p w14:paraId="1786F83C" w14:textId="77777777" w:rsidR="00FF4751" w:rsidRPr="00884A4C" w:rsidRDefault="00E92521">
            <w:pPr>
              <w:pStyle w:val="SCCLsocVersus"/>
              <w:rPr>
                <w:lang w:val="fr-CA"/>
              </w:rPr>
            </w:pPr>
            <w:r w:rsidRPr="00884A4C">
              <w:rPr>
                <w:lang w:val="fr-CA"/>
              </w:rPr>
              <w:t>- et -</w:t>
            </w:r>
          </w:p>
          <w:p w14:paraId="1786F83D" w14:textId="77777777" w:rsidR="00FF4751" w:rsidRPr="00884A4C" w:rsidRDefault="00FF4751">
            <w:pPr>
              <w:rPr>
                <w:lang w:val="fr-CA"/>
              </w:rPr>
            </w:pPr>
          </w:p>
          <w:p w14:paraId="1786F83E" w14:textId="41B91DB5" w:rsidR="00FF4751" w:rsidRPr="008C0853" w:rsidRDefault="00E92521">
            <w:pPr>
              <w:pStyle w:val="SCCLsocParty"/>
              <w:rPr>
                <w:lang w:val="fr-CA"/>
              </w:rPr>
            </w:pPr>
            <w:r w:rsidRPr="008C0853">
              <w:rPr>
                <w:lang w:val="fr-CA"/>
              </w:rPr>
              <w:t xml:space="preserve">Sun Life </w:t>
            </w:r>
            <w:r w:rsidR="00E82BA9" w:rsidRPr="008C0853">
              <w:rPr>
                <w:lang w:val="fr-CA"/>
              </w:rPr>
              <w:t>du</w:t>
            </w:r>
            <w:r w:rsidRPr="008C0853">
              <w:rPr>
                <w:lang w:val="fr-CA"/>
              </w:rPr>
              <w:t xml:space="preserve"> Canada, </w:t>
            </w:r>
            <w:r w:rsidR="00E82BA9" w:rsidRPr="008C0853">
              <w:rPr>
                <w:lang w:val="fr-CA"/>
              </w:rPr>
              <w:t>compagnie d’assurance-</w:t>
            </w:r>
            <w:r w:rsidR="00E82BA9" w:rsidRPr="003252DE">
              <w:rPr>
                <w:lang w:val="fr-CA"/>
              </w:rPr>
              <w:t>vie, Financière Su</w:t>
            </w:r>
            <w:r w:rsidRPr="008C0853">
              <w:rPr>
                <w:lang w:val="fr-CA"/>
              </w:rPr>
              <w:t xml:space="preserve">n Life </w:t>
            </w:r>
            <w:r w:rsidR="00E82BA9" w:rsidRPr="003252DE">
              <w:rPr>
                <w:lang w:val="fr-CA"/>
              </w:rPr>
              <w:t xml:space="preserve">inc. et </w:t>
            </w:r>
            <w:r w:rsidRPr="008C0853">
              <w:rPr>
                <w:lang w:val="fr-CA"/>
              </w:rPr>
              <w:t xml:space="preserve"> </w:t>
            </w:r>
            <w:r w:rsidR="00E82BA9" w:rsidRPr="008C0853">
              <w:rPr>
                <w:lang w:val="fr-CA"/>
              </w:rPr>
              <w:t xml:space="preserve">Financière Sun Life du </w:t>
            </w:r>
            <w:r w:rsidRPr="008C0853">
              <w:rPr>
                <w:lang w:val="fr-CA"/>
              </w:rPr>
              <w:t>Canada</w:t>
            </w:r>
            <w:r w:rsidRPr="008C0853">
              <w:rPr>
                <w:lang w:val="fr-CA"/>
              </w:rPr>
              <w:br/>
            </w:r>
          </w:p>
          <w:p w14:paraId="1786F83F" w14:textId="77777777" w:rsidR="00FF4751" w:rsidRDefault="00E92521" w:rsidP="00AE0544">
            <w:pPr>
              <w:pStyle w:val="SCCLsocPartyRole"/>
            </w:pPr>
            <w:r>
              <w:t>Intimées</w:t>
            </w:r>
          </w:p>
        </w:tc>
      </w:tr>
      <w:tr w:rsidR="00824412" w:rsidRPr="006E7BAE" w14:paraId="1786F84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86F84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86F84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86F84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84A4C" w14:paraId="1786F84C" w14:textId="77777777" w:rsidTr="00C173B0">
        <w:tc>
          <w:tcPr>
            <w:tcW w:w="2269" w:type="pct"/>
          </w:tcPr>
          <w:p w14:paraId="1786F84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86F846" w14:textId="77777777" w:rsidR="00824412" w:rsidRPr="006E7BAE" w:rsidRDefault="00824412" w:rsidP="00417FB7">
            <w:pPr>
              <w:jc w:val="center"/>
            </w:pPr>
          </w:p>
          <w:p w14:paraId="56C21CB2" w14:textId="77777777" w:rsidR="003F6511" w:rsidRDefault="00AE0544" w:rsidP="00AE0544">
            <w:pPr>
              <w:jc w:val="both"/>
            </w:pPr>
            <w:r>
              <w:rPr>
                <w:rStyle w:val="solexhl"/>
                <w:color w:val="000000"/>
              </w:rPr>
              <w:t>The</w:t>
            </w:r>
            <w:r>
              <w:rPr>
                <w:color w:val="000000"/>
              </w:rPr>
              <w:t> </w:t>
            </w:r>
            <w:r>
              <w:rPr>
                <w:rStyle w:val="solexhl"/>
                <w:color w:val="000000"/>
              </w:rPr>
              <w:t>motion</w:t>
            </w:r>
            <w:r>
              <w:rPr>
                <w:color w:val="000000"/>
              </w:rPr>
              <w:t> for an extension of time to serve and file </w:t>
            </w:r>
            <w:r>
              <w:rPr>
                <w:rStyle w:val="solexhl"/>
                <w:color w:val="000000"/>
              </w:rPr>
              <w:t>the</w:t>
            </w:r>
            <w:r>
              <w:rPr>
                <w:color w:val="000000"/>
              </w:rPr>
              <w:t> application for leave to appeal is dismissed. In any event, </w:t>
            </w:r>
            <w:r>
              <w:rPr>
                <w:rStyle w:val="solexhl"/>
                <w:color w:val="000000"/>
              </w:rPr>
              <w:t>had</w:t>
            </w:r>
            <w:r>
              <w:rPr>
                <w:color w:val="000000"/>
              </w:rPr>
              <w:t> </w:t>
            </w:r>
            <w:r>
              <w:rPr>
                <w:rStyle w:val="solexhl"/>
                <w:color w:val="000000"/>
              </w:rPr>
              <w:t>the</w:t>
            </w:r>
            <w:r>
              <w:rPr>
                <w:color w:val="000000"/>
              </w:rPr>
              <w:t> </w:t>
            </w:r>
            <w:r>
              <w:rPr>
                <w:rStyle w:val="solexhl"/>
                <w:color w:val="000000"/>
              </w:rPr>
              <w:t>motion</w:t>
            </w:r>
            <w:r>
              <w:rPr>
                <w:color w:val="000000"/>
              </w:rPr>
              <w:t> for an extension of time </w:t>
            </w:r>
            <w:r>
              <w:rPr>
                <w:rStyle w:val="solexhl"/>
                <w:color w:val="000000"/>
              </w:rPr>
              <w:t>been</w:t>
            </w:r>
            <w:r>
              <w:rPr>
                <w:color w:val="000000"/>
              </w:rPr>
              <w:t> </w:t>
            </w:r>
            <w:r>
              <w:rPr>
                <w:rStyle w:val="solexhl"/>
                <w:color w:val="000000"/>
              </w:rPr>
              <w:t>granted,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C67095</w:t>
            </w:r>
            <w:r w:rsidR="00824412" w:rsidRPr="006E7BAE">
              <w:t xml:space="preserve">, </w:t>
            </w:r>
            <w:r>
              <w:t xml:space="preserve">2020 ONCA 31, </w:t>
            </w:r>
            <w:r w:rsidR="00824412" w:rsidRPr="006E7BAE">
              <w:t xml:space="preserve">dated </w:t>
            </w:r>
            <w:r w:rsidR="00824412">
              <w:t>January 20, 2020</w:t>
            </w:r>
            <w:r>
              <w:t xml:space="preserve"> would have been dismissed</w:t>
            </w:r>
            <w:r w:rsidR="00824412" w:rsidRPr="006E7BAE">
              <w:t>.</w:t>
            </w:r>
          </w:p>
          <w:p w14:paraId="6FD3A9F5" w14:textId="77777777" w:rsidR="006F7E51" w:rsidRDefault="006F7E51" w:rsidP="00AE0544">
            <w:pPr>
              <w:jc w:val="both"/>
            </w:pPr>
          </w:p>
          <w:p w14:paraId="1786F847" w14:textId="35458A9A" w:rsidR="006F7E51" w:rsidRPr="00884A4C" w:rsidRDefault="006F7E51">
            <w:pPr>
              <w:jc w:val="both"/>
              <w:rPr>
                <w:lang w:val="en-US"/>
              </w:rPr>
            </w:pPr>
            <w:r w:rsidRPr="00884A4C">
              <w:rPr>
                <w:lang w:val="en-US"/>
              </w:rPr>
              <w:t xml:space="preserve">Jamal J. </w:t>
            </w:r>
            <w:r>
              <w:rPr>
                <w:lang w:val="en-US"/>
              </w:rPr>
              <w:t>took no part in the judgment.</w:t>
            </w:r>
          </w:p>
        </w:tc>
        <w:tc>
          <w:tcPr>
            <w:tcW w:w="381" w:type="pct"/>
          </w:tcPr>
          <w:p w14:paraId="1786F848" w14:textId="77777777" w:rsidR="00824412" w:rsidRPr="00884A4C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14:paraId="1786F84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86F84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7E30778" w14:textId="77777777" w:rsidR="003F6511" w:rsidRDefault="00AE0544" w:rsidP="00AE0544">
            <w:pPr>
              <w:jc w:val="both"/>
              <w:rPr>
                <w:lang w:val="fr-CA"/>
              </w:rPr>
            </w:pPr>
            <w:r w:rsidRPr="00AE0544">
              <w:rPr>
                <w:color w:val="000000"/>
                <w:lang w:val="fr-CA"/>
              </w:rPr>
              <w:t>La requête en prorogation du délai de signification et de dépôt de la demande d’autorisation d’appel est rejetée.</w:t>
            </w:r>
            <w:r>
              <w:rPr>
                <w:color w:val="000000"/>
                <w:lang w:val="fr-CA"/>
              </w:rPr>
              <w:t xml:space="preserve"> </w:t>
            </w:r>
            <w:r w:rsidRPr="00AE0544">
              <w:rPr>
                <w:color w:val="000000"/>
                <w:lang w:val="fr-CA"/>
              </w:rPr>
              <w:t xml:space="preserve">Quoi qu’il en soit, même si la requête en prorogation du délai avait été accueillie,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92521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92521">
              <w:rPr>
                <w:lang w:val="fr-CA"/>
              </w:rPr>
              <w:t>C67095</w:t>
            </w:r>
            <w:r w:rsidR="00824412" w:rsidRPr="006E7BAE">
              <w:rPr>
                <w:lang w:val="fr-CA"/>
              </w:rPr>
              <w:t xml:space="preserve">, </w:t>
            </w:r>
            <w:r w:rsidRPr="00E92521">
              <w:rPr>
                <w:lang w:val="fr-CA"/>
              </w:rPr>
              <w:t xml:space="preserve">2020 ONCA 31,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92521">
              <w:rPr>
                <w:lang w:val="fr-CA"/>
              </w:rPr>
              <w:t>20 janvier 2020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aurait été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6BA2520B" w14:textId="77777777" w:rsidR="006F7E51" w:rsidRDefault="006F7E51" w:rsidP="00AE0544">
            <w:pPr>
              <w:jc w:val="both"/>
              <w:rPr>
                <w:lang w:val="fr-CA"/>
              </w:rPr>
            </w:pPr>
          </w:p>
          <w:p w14:paraId="1786F84B" w14:textId="41D9B4C7" w:rsidR="006F7E51" w:rsidRPr="006E7BAE" w:rsidRDefault="006F7E51" w:rsidP="00AE054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 juge Jamal n’a pas participé au jugement.</w:t>
            </w:r>
          </w:p>
        </w:tc>
      </w:tr>
    </w:tbl>
    <w:p w14:paraId="1786F84D" w14:textId="77777777" w:rsidR="009F436C" w:rsidRPr="00D83B8C" w:rsidRDefault="009F436C" w:rsidP="00382FEC">
      <w:pPr>
        <w:rPr>
          <w:lang w:val="fr-CA"/>
        </w:rPr>
      </w:pPr>
    </w:p>
    <w:p w14:paraId="1786F84E" w14:textId="77777777" w:rsidR="009F436C" w:rsidRPr="00D83B8C" w:rsidRDefault="009F436C" w:rsidP="00417FB7">
      <w:pPr>
        <w:jc w:val="center"/>
        <w:rPr>
          <w:lang w:val="fr-CA"/>
        </w:rPr>
      </w:pPr>
    </w:p>
    <w:p w14:paraId="1786F84F" w14:textId="77777777" w:rsidR="009F436C" w:rsidRPr="00D83B8C" w:rsidRDefault="009F436C" w:rsidP="00417FB7">
      <w:pPr>
        <w:jc w:val="center"/>
        <w:rPr>
          <w:lang w:val="fr-CA"/>
        </w:rPr>
      </w:pPr>
    </w:p>
    <w:p w14:paraId="57F8FDA0" w14:textId="77777777" w:rsidR="006F7E51" w:rsidRDefault="006F7E51" w:rsidP="00417FB7">
      <w:pPr>
        <w:jc w:val="center"/>
        <w:rPr>
          <w:lang w:val="fr-CA"/>
        </w:rPr>
      </w:pPr>
    </w:p>
    <w:p w14:paraId="0626B9F9" w14:textId="77777777" w:rsidR="006F7E51" w:rsidRDefault="006F7E51" w:rsidP="00417FB7">
      <w:pPr>
        <w:jc w:val="center"/>
        <w:rPr>
          <w:lang w:val="fr-CA"/>
        </w:rPr>
      </w:pPr>
    </w:p>
    <w:p w14:paraId="16B92694" w14:textId="77777777" w:rsidR="006F7E51" w:rsidRDefault="006F7E51" w:rsidP="00417FB7">
      <w:pPr>
        <w:jc w:val="center"/>
        <w:rPr>
          <w:lang w:val="fr-CA"/>
        </w:rPr>
      </w:pPr>
    </w:p>
    <w:p w14:paraId="5809BA2E" w14:textId="77777777" w:rsidR="006F7E51" w:rsidRDefault="006F7E51" w:rsidP="00417FB7">
      <w:pPr>
        <w:jc w:val="center"/>
        <w:rPr>
          <w:lang w:val="fr-CA"/>
        </w:rPr>
      </w:pPr>
    </w:p>
    <w:p w14:paraId="08385C51" w14:textId="77777777" w:rsidR="006F7E51" w:rsidRDefault="006F7E51" w:rsidP="00417FB7">
      <w:pPr>
        <w:jc w:val="center"/>
        <w:rPr>
          <w:lang w:val="fr-CA"/>
        </w:rPr>
      </w:pPr>
    </w:p>
    <w:p w14:paraId="753A4E96" w14:textId="77777777" w:rsidR="006F7E51" w:rsidRDefault="006F7E51" w:rsidP="00417FB7">
      <w:pPr>
        <w:jc w:val="center"/>
        <w:rPr>
          <w:lang w:val="fr-CA"/>
        </w:rPr>
      </w:pPr>
    </w:p>
    <w:p w14:paraId="1786F85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786F851" w14:textId="77777777" w:rsidR="003A37CF" w:rsidRPr="00D83B8C" w:rsidRDefault="003A37CF" w:rsidP="00AE054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6F854" w14:textId="77777777" w:rsidR="00983D48" w:rsidRDefault="00983D48">
      <w:r>
        <w:separator/>
      </w:r>
    </w:p>
  </w:endnote>
  <w:endnote w:type="continuationSeparator" w:id="0">
    <w:p w14:paraId="1786F85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F852" w14:textId="77777777" w:rsidR="00983D48" w:rsidRDefault="00983D48">
      <w:r>
        <w:separator/>
      </w:r>
    </w:p>
  </w:footnote>
  <w:footnote w:type="continuationSeparator" w:id="0">
    <w:p w14:paraId="1786F85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6F85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C730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86F857" w14:textId="77777777" w:rsidR="008F53F3" w:rsidRDefault="008F53F3" w:rsidP="008F53F3">
    <w:pPr>
      <w:rPr>
        <w:szCs w:val="24"/>
      </w:rPr>
    </w:pPr>
  </w:p>
  <w:p w14:paraId="1786F858" w14:textId="77777777" w:rsidR="008F53F3" w:rsidRDefault="008F53F3" w:rsidP="008F53F3">
    <w:pPr>
      <w:rPr>
        <w:szCs w:val="24"/>
      </w:rPr>
    </w:pPr>
  </w:p>
  <w:p w14:paraId="1786F85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39963</w:t>
    </w:r>
    <w:r>
      <w:rPr>
        <w:szCs w:val="24"/>
      </w:rPr>
      <w:t>     </w:t>
    </w:r>
  </w:p>
  <w:p w14:paraId="1786F85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786F85B" w14:textId="77777777" w:rsidR="0073151A" w:rsidRDefault="0073151A" w:rsidP="0073151A"/>
      <w:p w14:paraId="1786F85C" w14:textId="77777777" w:rsidR="0073151A" w:rsidRPr="006E7BAE" w:rsidRDefault="0073151A" w:rsidP="0073151A"/>
      <w:p w14:paraId="1786F85D" w14:textId="77777777" w:rsidR="0073151A" w:rsidRPr="006E7BAE" w:rsidRDefault="0073151A" w:rsidP="0073151A"/>
      <w:p w14:paraId="1786F85E" w14:textId="77777777" w:rsidR="0073151A" w:rsidRPr="006E7BAE" w:rsidRDefault="0073151A" w:rsidP="0073151A"/>
      <w:p w14:paraId="1786F85F" w14:textId="77777777" w:rsidR="0073151A" w:rsidRDefault="0073151A" w:rsidP="0073151A"/>
      <w:p w14:paraId="1786F860" w14:textId="77777777" w:rsidR="0073151A" w:rsidRDefault="0073151A" w:rsidP="0073151A"/>
      <w:p w14:paraId="1786F861" w14:textId="77777777" w:rsidR="0073151A" w:rsidRDefault="0073151A" w:rsidP="0073151A"/>
      <w:p w14:paraId="1786F862" w14:textId="77777777" w:rsidR="0073151A" w:rsidRDefault="0073151A" w:rsidP="0073151A"/>
      <w:p w14:paraId="1786F863" w14:textId="77777777" w:rsidR="0073151A" w:rsidRDefault="0073151A" w:rsidP="0073151A"/>
      <w:p w14:paraId="1786F864" w14:textId="77777777" w:rsidR="0073151A" w:rsidRPr="006E7BAE" w:rsidRDefault="0073151A" w:rsidP="0073151A"/>
      <w:p w14:paraId="1786F865" w14:textId="77777777" w:rsidR="00ED265D" w:rsidRPr="0073151A" w:rsidRDefault="00CC730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52DE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7E51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4A4C"/>
    <w:rsid w:val="00894E45"/>
    <w:rsid w:val="00895263"/>
    <w:rsid w:val="008A0569"/>
    <w:rsid w:val="008A153F"/>
    <w:rsid w:val="008C0853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0544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730E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2BA9"/>
    <w:rsid w:val="00E92521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4751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786F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AE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14394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85F7-2A35-4D91-87C0-27F3983DA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B1898-4C20-4C90-AD7A-FF14153F9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D4B5C-1E4C-4591-8EED-13621626B06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59AB1D1E-3AC0-44AB-B0A6-D1D1ED72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2022-04-11T14:42:00Z</dcterms:created>
  <dcterms:modified xsi:type="dcterms:W3CDTF">2022-04-11T14:42:00Z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