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C88A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40008</w:t>
      </w:r>
      <w:r w:rsidR="0016666F" w:rsidRPr="006E7BAE">
        <w:t>     </w:t>
      </w:r>
    </w:p>
    <w:p w14:paraId="555C88AC" w14:textId="77777777" w:rsidR="009F436C" w:rsidRPr="006E7BAE" w:rsidRDefault="009F436C" w:rsidP="00382FEC"/>
    <w:p w14:paraId="555C88AD" w14:textId="77777777" w:rsidR="002568D3" w:rsidRPr="006E7BAE" w:rsidRDefault="002568D3" w:rsidP="00382FEC"/>
    <w:tbl>
      <w:tblPr>
        <w:tblW w:w="490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9"/>
        <w:gridCol w:w="712"/>
        <w:gridCol w:w="4219"/>
      </w:tblGrid>
      <w:tr w:rsidR="00417FB7" w:rsidRPr="006E7BAE" w14:paraId="555C88B1" w14:textId="77777777" w:rsidTr="00687B92">
        <w:tc>
          <w:tcPr>
            <w:tcW w:w="2314" w:type="pct"/>
          </w:tcPr>
          <w:p w14:paraId="555C88AE" w14:textId="77777777" w:rsidR="00417FB7" w:rsidRPr="006E7BAE" w:rsidRDefault="00A62F70" w:rsidP="008262A3">
            <w:r>
              <w:t>May 12</w:t>
            </w:r>
            <w:r w:rsidR="00543EDD">
              <w:t>, 2022</w:t>
            </w:r>
          </w:p>
        </w:tc>
        <w:tc>
          <w:tcPr>
            <w:tcW w:w="388" w:type="pct"/>
          </w:tcPr>
          <w:p w14:paraId="555C88AF" w14:textId="77777777" w:rsidR="00417FB7" w:rsidRPr="006E7BAE" w:rsidRDefault="00417FB7" w:rsidP="00382FEC"/>
        </w:tc>
        <w:tc>
          <w:tcPr>
            <w:tcW w:w="2298" w:type="pct"/>
          </w:tcPr>
          <w:p w14:paraId="555C88B0" w14:textId="77777777" w:rsidR="00417FB7" w:rsidRPr="00D83B8C" w:rsidRDefault="00543EDD" w:rsidP="00A62F70">
            <w:pPr>
              <w:rPr>
                <w:lang w:val="en-US"/>
              </w:rPr>
            </w:pPr>
            <w:r>
              <w:t xml:space="preserve">Le </w:t>
            </w:r>
            <w:r w:rsidR="00A62F70">
              <w:t>12 mai</w:t>
            </w:r>
            <w:r>
              <w:t xml:space="preserve"> 2022</w:t>
            </w:r>
          </w:p>
        </w:tc>
      </w:tr>
      <w:tr w:rsidR="00E12A51" w:rsidRPr="006E7BAE" w14:paraId="555C88B5" w14:textId="77777777" w:rsidTr="00687B92">
        <w:tc>
          <w:tcPr>
            <w:tcW w:w="2314" w:type="pct"/>
            <w:tcMar>
              <w:top w:w="0" w:type="dxa"/>
              <w:bottom w:w="0" w:type="dxa"/>
            </w:tcMar>
          </w:tcPr>
          <w:p w14:paraId="555C88B2" w14:textId="77777777" w:rsidR="00C2612E" w:rsidRPr="006E7BAE" w:rsidRDefault="00C2612E" w:rsidP="008262A3"/>
        </w:tc>
        <w:tc>
          <w:tcPr>
            <w:tcW w:w="388" w:type="pct"/>
            <w:tcMar>
              <w:top w:w="0" w:type="dxa"/>
              <w:bottom w:w="0" w:type="dxa"/>
            </w:tcMar>
          </w:tcPr>
          <w:p w14:paraId="555C88B3" w14:textId="77777777" w:rsidR="00E12A51" w:rsidRPr="006E7BAE" w:rsidRDefault="00E12A51" w:rsidP="00382FEC"/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555C88B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55C88C7" w14:textId="77777777" w:rsidTr="00687B92">
        <w:tc>
          <w:tcPr>
            <w:tcW w:w="2314" w:type="pct"/>
          </w:tcPr>
          <w:p w14:paraId="555C88B6" w14:textId="77777777" w:rsidR="000F4350" w:rsidRDefault="000F4350"/>
          <w:p w14:paraId="555C88B7" w14:textId="77777777" w:rsidR="000F4350" w:rsidRDefault="00A62F70">
            <w:pPr>
              <w:pStyle w:val="SCCLsocPrefix"/>
            </w:pPr>
            <w:r>
              <w:t>BETWEEN:</w:t>
            </w:r>
          </w:p>
          <w:p w14:paraId="555C88B8" w14:textId="77777777" w:rsidR="000F4350" w:rsidRDefault="00A62F70">
            <w:pPr>
              <w:pStyle w:val="SCCLsocParty"/>
            </w:pPr>
            <w:r>
              <w:t>Rosmy Jean Louis</w:t>
            </w:r>
            <w:r>
              <w:br/>
            </w:r>
          </w:p>
          <w:p w14:paraId="555C88B9" w14:textId="77777777" w:rsidR="000F4350" w:rsidRDefault="00A62F70">
            <w:pPr>
              <w:pStyle w:val="SCCLsocPartyRole"/>
            </w:pPr>
            <w:r>
              <w:t>Applicant</w:t>
            </w:r>
            <w:r>
              <w:br/>
            </w:r>
          </w:p>
          <w:p w14:paraId="555C88BA" w14:textId="77777777" w:rsidR="000F4350" w:rsidRDefault="00A62F70">
            <w:pPr>
              <w:pStyle w:val="SCCLsocVersus"/>
            </w:pPr>
            <w:r>
              <w:t>- and -</w:t>
            </w:r>
          </w:p>
          <w:p w14:paraId="555C88BB" w14:textId="77777777" w:rsidR="000F4350" w:rsidRDefault="000F4350"/>
          <w:p w14:paraId="555C88BC" w14:textId="77777777" w:rsidR="000F4350" w:rsidRDefault="00A62F70">
            <w:pPr>
              <w:pStyle w:val="SCCLsocParty"/>
            </w:pPr>
            <w:r>
              <w:t>Parisa Jean Louis also known as Parisa Firoozfam</w:t>
            </w:r>
            <w:r>
              <w:br/>
            </w:r>
          </w:p>
          <w:p w14:paraId="555C88BD" w14:textId="77777777" w:rsidR="000F4350" w:rsidRDefault="00A62F70">
            <w:pPr>
              <w:pStyle w:val="SCCLsocPartyRole"/>
            </w:pPr>
            <w:r>
              <w:t>Respondent</w:t>
            </w:r>
          </w:p>
        </w:tc>
        <w:tc>
          <w:tcPr>
            <w:tcW w:w="388" w:type="pct"/>
          </w:tcPr>
          <w:p w14:paraId="555C88BE" w14:textId="77777777" w:rsidR="00824412" w:rsidRPr="006E7BAE" w:rsidRDefault="00824412" w:rsidP="00375294"/>
        </w:tc>
        <w:tc>
          <w:tcPr>
            <w:tcW w:w="2298" w:type="pct"/>
          </w:tcPr>
          <w:p w14:paraId="555C88BF" w14:textId="77777777" w:rsidR="000F4350" w:rsidRPr="00A62F70" w:rsidRDefault="000F4350">
            <w:pPr>
              <w:rPr>
                <w:lang w:val="fr-CA"/>
              </w:rPr>
            </w:pPr>
          </w:p>
          <w:p w14:paraId="555C88C0" w14:textId="77777777" w:rsidR="000F4350" w:rsidRPr="00A62F70" w:rsidRDefault="00A62F70">
            <w:pPr>
              <w:pStyle w:val="SCCLsocPrefix"/>
              <w:rPr>
                <w:lang w:val="fr-CA"/>
              </w:rPr>
            </w:pPr>
            <w:r w:rsidRPr="00A62F70">
              <w:rPr>
                <w:lang w:val="fr-CA"/>
              </w:rPr>
              <w:t>ENTRE :</w:t>
            </w:r>
          </w:p>
          <w:p w14:paraId="555C88C1" w14:textId="77777777" w:rsidR="000F4350" w:rsidRPr="00A62F70" w:rsidRDefault="00A62F70">
            <w:pPr>
              <w:pStyle w:val="SCCLsocParty"/>
              <w:rPr>
                <w:lang w:val="fr-CA"/>
              </w:rPr>
            </w:pPr>
            <w:r w:rsidRPr="00A62F70">
              <w:rPr>
                <w:lang w:val="fr-CA"/>
              </w:rPr>
              <w:t>Rosmy Jean Louis</w:t>
            </w:r>
            <w:r w:rsidRPr="00A62F70">
              <w:rPr>
                <w:lang w:val="fr-CA"/>
              </w:rPr>
              <w:br/>
            </w:r>
          </w:p>
          <w:p w14:paraId="555C88C2" w14:textId="77777777" w:rsidR="000F4350" w:rsidRPr="00A62F70" w:rsidRDefault="00A62F7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62F70">
              <w:rPr>
                <w:lang w:val="fr-CA"/>
              </w:rPr>
              <w:br/>
            </w:r>
          </w:p>
          <w:p w14:paraId="555C88C3" w14:textId="77777777" w:rsidR="000F4350" w:rsidRPr="00A62F70" w:rsidRDefault="00A62F70">
            <w:pPr>
              <w:pStyle w:val="SCCLsocVersus"/>
              <w:rPr>
                <w:lang w:val="fr-CA"/>
              </w:rPr>
            </w:pPr>
            <w:r w:rsidRPr="00A62F70">
              <w:rPr>
                <w:lang w:val="fr-CA"/>
              </w:rPr>
              <w:t>- et -</w:t>
            </w:r>
          </w:p>
          <w:p w14:paraId="555C88C4" w14:textId="77777777" w:rsidR="000F4350" w:rsidRPr="00A62F70" w:rsidRDefault="000F4350">
            <w:pPr>
              <w:rPr>
                <w:lang w:val="fr-CA"/>
              </w:rPr>
            </w:pPr>
          </w:p>
          <w:p w14:paraId="555C88C5" w14:textId="46BF731D" w:rsidR="000F4350" w:rsidRPr="00A62F70" w:rsidRDefault="00A62F70">
            <w:pPr>
              <w:pStyle w:val="SCCLsocParty"/>
              <w:rPr>
                <w:lang w:val="fr-CA"/>
              </w:rPr>
            </w:pPr>
            <w:r w:rsidRPr="00A62F70">
              <w:rPr>
                <w:lang w:val="fr-CA"/>
              </w:rPr>
              <w:t xml:space="preserve">Parisa Jean Louis </w:t>
            </w:r>
            <w:r w:rsidR="00B43821">
              <w:rPr>
                <w:lang w:val="fr-CA"/>
              </w:rPr>
              <w:t>également connue sous le nom de</w:t>
            </w:r>
            <w:r w:rsidRPr="00A62F70">
              <w:rPr>
                <w:lang w:val="fr-CA"/>
              </w:rPr>
              <w:t xml:space="preserve"> Parisa Firoozfam</w:t>
            </w:r>
            <w:r w:rsidRPr="00A62F70">
              <w:rPr>
                <w:lang w:val="fr-CA"/>
              </w:rPr>
              <w:br/>
            </w:r>
          </w:p>
          <w:p w14:paraId="555C88C6" w14:textId="77777777" w:rsidR="000F4350" w:rsidRDefault="00A62F70">
            <w:pPr>
              <w:pStyle w:val="SCCLsocPartyRole"/>
            </w:pPr>
            <w:r>
              <w:t>Intimé</w:t>
            </w:r>
          </w:p>
        </w:tc>
      </w:tr>
      <w:tr w:rsidR="00824412" w:rsidRPr="006E7BAE" w14:paraId="555C88CB" w14:textId="77777777" w:rsidTr="00687B92">
        <w:tc>
          <w:tcPr>
            <w:tcW w:w="2314" w:type="pct"/>
            <w:tcMar>
              <w:top w:w="0" w:type="dxa"/>
              <w:bottom w:w="0" w:type="dxa"/>
            </w:tcMar>
          </w:tcPr>
          <w:p w14:paraId="555C88C8" w14:textId="77777777" w:rsidR="00824412" w:rsidRPr="006E7BAE" w:rsidRDefault="00824412" w:rsidP="00375294"/>
        </w:tc>
        <w:tc>
          <w:tcPr>
            <w:tcW w:w="388" w:type="pct"/>
            <w:tcMar>
              <w:top w:w="0" w:type="dxa"/>
              <w:bottom w:w="0" w:type="dxa"/>
            </w:tcMar>
          </w:tcPr>
          <w:p w14:paraId="555C88C9" w14:textId="77777777" w:rsidR="00824412" w:rsidRPr="006E7BAE" w:rsidRDefault="00824412" w:rsidP="00375294"/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555C88C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87B92" w14:paraId="555C88D3" w14:textId="77777777" w:rsidTr="00687B92">
        <w:tc>
          <w:tcPr>
            <w:tcW w:w="2314" w:type="pct"/>
          </w:tcPr>
          <w:p w14:paraId="555C88C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55C88CD" w14:textId="77777777" w:rsidR="00824412" w:rsidRPr="006E7BAE" w:rsidRDefault="00824412" w:rsidP="00417FB7">
            <w:pPr>
              <w:jc w:val="center"/>
            </w:pPr>
          </w:p>
          <w:p w14:paraId="555C88CE" w14:textId="444A3799" w:rsidR="003F6511" w:rsidRPr="006E7BAE" w:rsidRDefault="00A62F70" w:rsidP="006B5AC4">
            <w:pPr>
              <w:jc w:val="both"/>
            </w:pPr>
            <w:r>
              <w:t xml:space="preserve">The motion for an extension of time to serve and file the application for leave to appeal is granted. The miscellaneous motions are dismissed.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6B5AC4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="006B5AC4">
              <w:t xml:space="preserve"> CA46421, 2020 BCCA 220, dated July 29, 2020, Number</w:t>
            </w:r>
            <w:r w:rsidR="00824412" w:rsidRPr="006E7BAE">
              <w:t xml:space="preserve"> </w:t>
            </w:r>
            <w:r w:rsidR="00B43821">
              <w:t xml:space="preserve">CA47498, </w:t>
            </w:r>
            <w:r w:rsidR="006B5AC4">
              <w:t xml:space="preserve">2021 BCCA 324, dated August 19, 2021 and Number CA47498, </w:t>
            </w:r>
            <w:r w:rsidR="00824412">
              <w:t>2021 BCCA 481</w:t>
            </w:r>
            <w:r w:rsidR="00824412" w:rsidRPr="006E7BAE">
              <w:t xml:space="preserve">, dated </w:t>
            </w:r>
            <w:r w:rsidR="00824412">
              <w:t>December 9, 2021</w:t>
            </w:r>
            <w:r w:rsidR="006B5AC4">
              <w:t>,</w:t>
            </w:r>
            <w:r w:rsidR="00824412" w:rsidRPr="006E7BAE">
              <w:t xml:space="preserve"> </w:t>
            </w:r>
            <w:r w:rsidR="006B5AC4">
              <w:t xml:space="preserve">are </w:t>
            </w:r>
            <w:r>
              <w:t xml:space="preserve"> dismissed</w:t>
            </w:r>
            <w:r w:rsidR="00824412" w:rsidRPr="006E7BAE">
              <w:t>.</w:t>
            </w:r>
          </w:p>
        </w:tc>
        <w:tc>
          <w:tcPr>
            <w:tcW w:w="388" w:type="pct"/>
          </w:tcPr>
          <w:p w14:paraId="555C88C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298" w:type="pct"/>
          </w:tcPr>
          <w:p w14:paraId="555C88D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55C88D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55C88D2" w14:textId="636C140E" w:rsidR="003F6511" w:rsidRPr="00687B92" w:rsidRDefault="00A62F70" w:rsidP="0056515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Les requêtes diverses sont rejetées.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62F70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565152">
              <w:rPr>
                <w:lang w:val="fr-CA"/>
              </w:rPr>
              <w:t xml:space="preserve">CA46421, 2020 BCCA 220, </w:t>
            </w:r>
            <w:r w:rsidR="00565152" w:rsidRPr="00565152">
              <w:rPr>
                <w:lang w:val="fr-CA"/>
              </w:rPr>
              <w:t xml:space="preserve">daté du </w:t>
            </w:r>
            <w:r w:rsidR="00565152">
              <w:rPr>
                <w:lang w:val="fr-CA"/>
              </w:rPr>
              <w:t xml:space="preserve">29 juillet 2020, </w:t>
            </w:r>
            <w:r w:rsidR="00565152" w:rsidRPr="00565152">
              <w:rPr>
                <w:lang w:val="fr-CA"/>
              </w:rPr>
              <w:t xml:space="preserve">numéro </w:t>
            </w:r>
            <w:r w:rsidR="00B43821">
              <w:rPr>
                <w:lang w:val="fr-CA"/>
              </w:rPr>
              <w:t xml:space="preserve">CA47498, </w:t>
            </w:r>
            <w:r w:rsidR="00565152">
              <w:rPr>
                <w:lang w:val="fr-CA"/>
              </w:rPr>
              <w:t xml:space="preserve">2021 BCCA 324, </w:t>
            </w:r>
            <w:r w:rsidR="00565152" w:rsidRPr="00565152">
              <w:rPr>
                <w:lang w:val="fr-CA"/>
              </w:rPr>
              <w:t xml:space="preserve">daté du </w:t>
            </w:r>
            <w:r w:rsidR="00565152">
              <w:rPr>
                <w:lang w:val="fr-CA"/>
              </w:rPr>
              <w:t xml:space="preserve">19 </w:t>
            </w:r>
            <w:r w:rsidR="00565152" w:rsidRPr="00565152">
              <w:rPr>
                <w:lang w:val="fr-FR"/>
              </w:rPr>
              <w:t>août</w:t>
            </w:r>
            <w:r w:rsidR="00565152" w:rsidRPr="00687B92">
              <w:rPr>
                <w:lang w:val="fr-CA"/>
              </w:rPr>
              <w:t xml:space="preserve"> </w:t>
            </w:r>
            <w:r w:rsidR="00824412" w:rsidRPr="00A62F70">
              <w:rPr>
                <w:lang w:val="fr-CA"/>
              </w:rPr>
              <w:t>2021</w:t>
            </w:r>
            <w:r w:rsidR="00565152">
              <w:rPr>
                <w:lang w:val="fr-CA"/>
              </w:rPr>
              <w:t xml:space="preserve"> et </w:t>
            </w:r>
            <w:r w:rsidR="00565152" w:rsidRPr="00565152">
              <w:rPr>
                <w:lang w:val="fr-CA"/>
              </w:rPr>
              <w:t>numéro</w:t>
            </w:r>
            <w:r w:rsidR="00565152">
              <w:rPr>
                <w:lang w:val="fr-CA"/>
              </w:rPr>
              <w:t xml:space="preserve"> CA47498, 2021</w:t>
            </w:r>
            <w:r w:rsidR="00824412" w:rsidRPr="00A62F70">
              <w:rPr>
                <w:lang w:val="fr-CA"/>
              </w:rPr>
              <w:t xml:space="preserve"> BCCA 481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62F70">
              <w:rPr>
                <w:lang w:val="fr-CA"/>
              </w:rPr>
              <w:t>9 décembre 2021</w:t>
            </w:r>
            <w:r w:rsidR="00824412" w:rsidRPr="006E7BAE">
              <w:rPr>
                <w:lang w:val="fr-CA"/>
              </w:rPr>
              <w:t xml:space="preserve">, </w:t>
            </w:r>
            <w:r w:rsidR="00565152">
              <w:rPr>
                <w:lang w:val="fr-CA"/>
              </w:rPr>
              <w:t xml:space="preserve">sont </w:t>
            </w:r>
            <w:r>
              <w:rPr>
                <w:lang w:val="fr-CA"/>
              </w:rPr>
              <w:t>rejetée</w:t>
            </w:r>
            <w:r w:rsidR="00565152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55C88D4" w14:textId="77777777" w:rsidR="009F436C" w:rsidRPr="00D83B8C" w:rsidRDefault="009F436C" w:rsidP="00382FEC">
      <w:pPr>
        <w:rPr>
          <w:lang w:val="fr-CA"/>
        </w:rPr>
      </w:pPr>
    </w:p>
    <w:p w14:paraId="555C88D5" w14:textId="77777777" w:rsidR="009F436C" w:rsidRPr="00D83B8C" w:rsidRDefault="009F436C" w:rsidP="00417FB7">
      <w:pPr>
        <w:jc w:val="center"/>
        <w:rPr>
          <w:lang w:val="fr-CA"/>
        </w:rPr>
      </w:pPr>
    </w:p>
    <w:p w14:paraId="555C88D7" w14:textId="77777777" w:rsidR="00A62F70" w:rsidRPr="00D83B8C" w:rsidRDefault="00A62F70" w:rsidP="00417FB7">
      <w:pPr>
        <w:jc w:val="center"/>
        <w:rPr>
          <w:lang w:val="fr-CA"/>
        </w:rPr>
      </w:pPr>
    </w:p>
    <w:p w14:paraId="555C88D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55C88D9" w14:textId="77777777" w:rsidR="003A37CF" w:rsidRPr="00D83B8C" w:rsidRDefault="003A37CF" w:rsidP="00A62F7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C88DC" w14:textId="77777777" w:rsidR="00983D48" w:rsidRDefault="00983D48">
      <w:r>
        <w:separator/>
      </w:r>
    </w:p>
  </w:endnote>
  <w:endnote w:type="continuationSeparator" w:id="0">
    <w:p w14:paraId="555C88D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C88DA" w14:textId="77777777" w:rsidR="00983D48" w:rsidRDefault="00983D48">
      <w:r>
        <w:separator/>
      </w:r>
    </w:p>
  </w:footnote>
  <w:footnote w:type="continuationSeparator" w:id="0">
    <w:p w14:paraId="555C88D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C88D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87B9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5C88DF" w14:textId="77777777" w:rsidR="008F53F3" w:rsidRDefault="008F53F3" w:rsidP="008F53F3">
    <w:pPr>
      <w:rPr>
        <w:szCs w:val="24"/>
      </w:rPr>
    </w:pPr>
  </w:p>
  <w:p w14:paraId="555C88E0" w14:textId="77777777" w:rsidR="008F53F3" w:rsidRDefault="008F53F3" w:rsidP="008F53F3">
    <w:pPr>
      <w:rPr>
        <w:szCs w:val="24"/>
      </w:rPr>
    </w:pPr>
  </w:p>
  <w:p w14:paraId="555C88E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40008</w:t>
    </w:r>
    <w:r>
      <w:rPr>
        <w:szCs w:val="24"/>
      </w:rPr>
      <w:t>     </w:t>
    </w:r>
  </w:p>
  <w:p w14:paraId="555C88E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55C88E3" w14:textId="77777777" w:rsidR="0073151A" w:rsidRDefault="0073151A" w:rsidP="0073151A"/>
      <w:p w14:paraId="555C88E4" w14:textId="77777777" w:rsidR="0073151A" w:rsidRPr="006E7BAE" w:rsidRDefault="0073151A" w:rsidP="0073151A"/>
      <w:p w14:paraId="555C88E5" w14:textId="77777777" w:rsidR="0073151A" w:rsidRPr="006E7BAE" w:rsidRDefault="0073151A" w:rsidP="0073151A"/>
      <w:p w14:paraId="555C88E6" w14:textId="77777777" w:rsidR="0073151A" w:rsidRPr="006E7BAE" w:rsidRDefault="0073151A" w:rsidP="0073151A"/>
      <w:p w14:paraId="555C88E7" w14:textId="77777777" w:rsidR="0073151A" w:rsidRDefault="0073151A" w:rsidP="0073151A"/>
      <w:p w14:paraId="555C88E8" w14:textId="77777777" w:rsidR="0073151A" w:rsidRDefault="0073151A" w:rsidP="0073151A"/>
      <w:p w14:paraId="555C88E9" w14:textId="77777777" w:rsidR="0073151A" w:rsidRDefault="0073151A" w:rsidP="0073151A"/>
      <w:p w14:paraId="555C88EA" w14:textId="77777777" w:rsidR="0073151A" w:rsidRDefault="0073151A" w:rsidP="0073151A"/>
      <w:p w14:paraId="555C88EB" w14:textId="77777777" w:rsidR="0073151A" w:rsidRDefault="0073151A" w:rsidP="0073151A"/>
      <w:p w14:paraId="555C88EC" w14:textId="77777777" w:rsidR="0073151A" w:rsidRPr="006E7BAE" w:rsidRDefault="0073151A" w:rsidP="0073151A"/>
      <w:p w14:paraId="555C88ED" w14:textId="77777777" w:rsidR="00ED265D" w:rsidRPr="0073151A" w:rsidRDefault="005E5A8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4350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65152"/>
    <w:rsid w:val="00587869"/>
    <w:rsid w:val="005E5A8F"/>
    <w:rsid w:val="00612913"/>
    <w:rsid w:val="00614908"/>
    <w:rsid w:val="00650109"/>
    <w:rsid w:val="00687B92"/>
    <w:rsid w:val="006B5AC4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2F70"/>
    <w:rsid w:val="00AB4A38"/>
    <w:rsid w:val="00AB5E22"/>
    <w:rsid w:val="00AE2077"/>
    <w:rsid w:val="00B158E3"/>
    <w:rsid w:val="00B328CD"/>
    <w:rsid w:val="00B408F8"/>
    <w:rsid w:val="00B43821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55C8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515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5152"/>
    <w:rPr>
      <w:rFonts w:ascii="Consolas" w:eastAsiaTheme="minorHAnsi" w:hAnsi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14439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3B893D5-D2C9-431C-BC52-96A9390CA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B3A38-B119-4AC1-93F9-D6FF9517C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68879-CCF5-4332-A389-99F17D6E925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2022-05-09T19:25:00Z</dcterms:created>
  <dcterms:modified xsi:type="dcterms:W3CDTF">2022-05-09T19:25:00Z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