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D0E6C" w14:textId="77777777" w:rsidR="009F436C" w:rsidRPr="006E7BAE" w:rsidRDefault="003A37CF" w:rsidP="00AE2077">
      <w:pPr>
        <w:jc w:val="right"/>
      </w:pPr>
      <w:r w:rsidRPr="006E7BAE">
        <w:t xml:space="preserve">No. </w:t>
      </w:r>
      <w:r>
        <w:t>41067</w:t>
      </w:r>
      <w:r w:rsidR="0016666F" w:rsidRPr="006E7BAE">
        <w:t>     </w:t>
      </w:r>
    </w:p>
    <w:p w14:paraId="24BF3135" w14:textId="77777777" w:rsidR="009F436C" w:rsidRPr="006E7BAE" w:rsidRDefault="009F436C" w:rsidP="00382FEC"/>
    <w:p w14:paraId="55CF8E5A" w14:textId="77777777" w:rsidR="002568D3" w:rsidRPr="006E7BAE" w:rsidRDefault="002568D3" w:rsidP="00382FEC"/>
    <w:tbl>
      <w:tblPr>
        <w:tblW w:w="5048" w:type="pct"/>
        <w:tblLayout w:type="fixed"/>
        <w:tblCellMar>
          <w:top w:w="58" w:type="dxa"/>
          <w:left w:w="58" w:type="dxa"/>
          <w:bottom w:w="58" w:type="dxa"/>
          <w:right w:w="58" w:type="dxa"/>
        </w:tblCellMar>
        <w:tblLook w:val="0000" w:firstRow="0" w:lastRow="0" w:firstColumn="0" w:lastColumn="0" w:noHBand="0" w:noVBand="0"/>
      </w:tblPr>
      <w:tblGrid>
        <w:gridCol w:w="4320"/>
        <w:gridCol w:w="641"/>
        <w:gridCol w:w="4489"/>
      </w:tblGrid>
      <w:tr w:rsidR="00417FB7" w:rsidRPr="006E7BAE" w14:paraId="2653C479" w14:textId="77777777" w:rsidTr="00200154">
        <w:tc>
          <w:tcPr>
            <w:tcW w:w="2286" w:type="pct"/>
          </w:tcPr>
          <w:p w14:paraId="1694F335" w14:textId="77777777" w:rsidR="00417FB7" w:rsidRPr="006E7BAE" w:rsidRDefault="00543EDD" w:rsidP="008262A3">
            <w:r>
              <w:t xml:space="preserve">May </w:t>
            </w:r>
            <w:r w:rsidR="00973849">
              <w:t>30</w:t>
            </w:r>
            <w:r>
              <w:t>, 2024</w:t>
            </w:r>
          </w:p>
        </w:tc>
        <w:tc>
          <w:tcPr>
            <w:tcW w:w="339" w:type="pct"/>
          </w:tcPr>
          <w:p w14:paraId="6B42E9EE" w14:textId="77777777" w:rsidR="00417FB7" w:rsidRPr="006E7BAE" w:rsidRDefault="00417FB7" w:rsidP="00382FEC"/>
        </w:tc>
        <w:tc>
          <w:tcPr>
            <w:tcW w:w="2375" w:type="pct"/>
          </w:tcPr>
          <w:p w14:paraId="011539B7" w14:textId="77777777" w:rsidR="00417FB7" w:rsidRPr="00D83B8C" w:rsidRDefault="00543EDD" w:rsidP="00816B78">
            <w:pPr>
              <w:rPr>
                <w:lang w:val="en-US"/>
              </w:rPr>
            </w:pPr>
            <w:r>
              <w:t xml:space="preserve">Le </w:t>
            </w:r>
            <w:r w:rsidR="00973849">
              <w:t>30</w:t>
            </w:r>
            <w:r>
              <w:t xml:space="preserve"> mai 2024</w:t>
            </w:r>
          </w:p>
        </w:tc>
      </w:tr>
      <w:tr w:rsidR="00E12A51" w:rsidRPr="006E7BAE" w14:paraId="23977690" w14:textId="77777777" w:rsidTr="00200154">
        <w:tc>
          <w:tcPr>
            <w:tcW w:w="2286" w:type="pct"/>
            <w:tcMar>
              <w:top w:w="0" w:type="dxa"/>
              <w:bottom w:w="0" w:type="dxa"/>
            </w:tcMar>
          </w:tcPr>
          <w:p w14:paraId="76A52920" w14:textId="77777777" w:rsidR="00C2612E" w:rsidRPr="006E7BAE" w:rsidRDefault="00C2612E" w:rsidP="008262A3"/>
        </w:tc>
        <w:tc>
          <w:tcPr>
            <w:tcW w:w="339" w:type="pct"/>
            <w:tcMar>
              <w:top w:w="0" w:type="dxa"/>
              <w:bottom w:w="0" w:type="dxa"/>
            </w:tcMar>
          </w:tcPr>
          <w:p w14:paraId="3927ADCB" w14:textId="77777777" w:rsidR="00E12A51" w:rsidRPr="006E7BAE" w:rsidRDefault="00E12A51" w:rsidP="00382FEC"/>
        </w:tc>
        <w:tc>
          <w:tcPr>
            <w:tcW w:w="2375" w:type="pct"/>
            <w:tcMar>
              <w:top w:w="0" w:type="dxa"/>
              <w:bottom w:w="0" w:type="dxa"/>
            </w:tcMar>
          </w:tcPr>
          <w:p w14:paraId="42431C0A" w14:textId="77777777" w:rsidR="00E12A51" w:rsidRPr="00D83B8C" w:rsidRDefault="00E12A51" w:rsidP="00816B78">
            <w:pPr>
              <w:rPr>
                <w:lang w:val="en-US"/>
              </w:rPr>
            </w:pPr>
          </w:p>
        </w:tc>
      </w:tr>
      <w:tr w:rsidR="00824412" w:rsidRPr="006E7BAE" w14:paraId="4DCCF2EE" w14:textId="77777777" w:rsidTr="00200154">
        <w:tc>
          <w:tcPr>
            <w:tcW w:w="2286" w:type="pct"/>
          </w:tcPr>
          <w:p w14:paraId="0EA27FB2" w14:textId="77777777" w:rsidR="00616C3E" w:rsidRDefault="00616C3E">
            <w:pPr>
              <w:pStyle w:val="SCCLsocPrefix"/>
            </w:pPr>
          </w:p>
          <w:p w14:paraId="5EE15DA2" w14:textId="77777777" w:rsidR="005E4B4F" w:rsidRDefault="00973849">
            <w:pPr>
              <w:pStyle w:val="SCCLsocPrefix"/>
            </w:pPr>
            <w:r>
              <w:t>BETWEEN:</w:t>
            </w:r>
          </w:p>
          <w:p w14:paraId="79335ACA" w14:textId="77777777" w:rsidR="001A7DD7" w:rsidRPr="001A7DD7" w:rsidRDefault="001A7DD7" w:rsidP="002A7017"/>
          <w:p w14:paraId="06D2069E" w14:textId="3FA5454E" w:rsidR="005E4B4F" w:rsidRDefault="00973849">
            <w:pPr>
              <w:pStyle w:val="SCCLsocParty"/>
            </w:pPr>
            <w:r>
              <w:t>Mehrzad Zarei personally and on behalf of the Estate of Arad Zarei deceased or as Personal Representative of Arad Zarei deceased, Shahin Moghaddam personally and on behalf of the Estate of Shakiba Feghahati deceased or as Personal Representative of Shakiba Feghahati deceased and on behalf of the Estate of Rosstin Moghaddam deceased or as Personal Representative of Rosstin Moghaddam, Ali Gorji personally and on behalf of the Estate of Pouneh Gorji deceased or as Personal Representative of Pouneh Gorji deceased and on behalf of the Estate of Arash Pourzarradi deceased or as Personal Representative of Arash Pourzarradi deceased, John Doe, Jane Doe, Bill Doe and Sam Do</w:t>
            </w:r>
            <w:r>
              <w:br/>
            </w:r>
          </w:p>
          <w:p w14:paraId="42548B0E" w14:textId="77777777" w:rsidR="005E4B4F" w:rsidRDefault="00973849">
            <w:pPr>
              <w:pStyle w:val="SCCLsocPartyRole"/>
            </w:pPr>
            <w:r>
              <w:t>Applicants</w:t>
            </w:r>
            <w:r>
              <w:br/>
            </w:r>
          </w:p>
          <w:p w14:paraId="40675FA5" w14:textId="77777777" w:rsidR="005E4B4F" w:rsidRDefault="00973849">
            <w:pPr>
              <w:pStyle w:val="SCCLsocVersus"/>
            </w:pPr>
            <w:r>
              <w:t>- and -</w:t>
            </w:r>
          </w:p>
          <w:p w14:paraId="58CD0253" w14:textId="77777777" w:rsidR="005E4B4F" w:rsidRDefault="005E4B4F"/>
          <w:p w14:paraId="4BDF0BA2" w14:textId="66526062" w:rsidR="005E4B4F" w:rsidRDefault="00973849">
            <w:pPr>
              <w:pStyle w:val="SCCLsocParty"/>
            </w:pPr>
            <w:r>
              <w:t xml:space="preserve">Islamic Republic of Iran, Islamic Revolutionary Guard Corps, also known as Army of the Guardians of the Islamic Revolution also known as Iranian Revolutionary Guard Corps, Iranian Armed Forces, also known as Armed Forces of the </w:t>
            </w:r>
            <w:r>
              <w:lastRenderedPageBreak/>
              <w:t>Islamic Republic of Iran</w:t>
            </w:r>
            <w:r w:rsidR="00DB7098">
              <w:t>,</w:t>
            </w:r>
            <w:r>
              <w:t xml:space="preserve"> Ali Khamenei, also known as Supreme Leader of Iran, Mohammad Bagheri, also known as Mohammad-Hossein Afshordi, Hossein Salami, Seyyed Asdolrahim Mousavi and Amir Ali Hajizadeh</w:t>
            </w:r>
            <w:r>
              <w:br/>
            </w:r>
          </w:p>
          <w:p w14:paraId="46CE2BC1" w14:textId="77777777" w:rsidR="005E4B4F" w:rsidRDefault="00973849">
            <w:pPr>
              <w:pStyle w:val="SCCLsocPartyRole"/>
            </w:pPr>
            <w:r>
              <w:t>Respondents</w:t>
            </w:r>
            <w:r>
              <w:br/>
            </w:r>
          </w:p>
          <w:p w14:paraId="6E716626" w14:textId="77777777" w:rsidR="005E4B4F" w:rsidRDefault="00973849">
            <w:pPr>
              <w:pStyle w:val="SCCLsocSubfileSeparator"/>
            </w:pPr>
            <w:r>
              <w:t>AND BETWEEN:</w:t>
            </w:r>
          </w:p>
          <w:p w14:paraId="0F68B43F" w14:textId="77777777" w:rsidR="005E4B4F" w:rsidRDefault="005E4B4F"/>
          <w:p w14:paraId="3ED792DA" w14:textId="77777777" w:rsidR="005E4B4F" w:rsidRDefault="00973849">
            <w:pPr>
              <w:pStyle w:val="SCCLsocParty"/>
            </w:pPr>
            <w:r>
              <w:t>John Smith, Bill Smith, Sam Smith, Jane Smith, Mary Smith, Sally Smith, personally and on behalf of the Estates of their deceased family members or as Personal Representative of their deceased family members</w:t>
            </w:r>
            <w:r>
              <w:br/>
            </w:r>
          </w:p>
          <w:p w14:paraId="6F299759" w14:textId="65A93E1A" w:rsidR="005E4B4F" w:rsidRDefault="00973849">
            <w:pPr>
              <w:pStyle w:val="SCCLsocPartyRole"/>
            </w:pPr>
            <w:r>
              <w:t>Applicant</w:t>
            </w:r>
            <w:r w:rsidR="001A7DD7">
              <w:t>s</w:t>
            </w:r>
            <w:r>
              <w:br/>
            </w:r>
          </w:p>
          <w:p w14:paraId="29A02F97" w14:textId="77777777" w:rsidR="005E4B4F" w:rsidRDefault="00973849">
            <w:pPr>
              <w:pStyle w:val="SCCLsocVersus"/>
            </w:pPr>
            <w:r>
              <w:t>- and -</w:t>
            </w:r>
          </w:p>
          <w:p w14:paraId="014E69E2" w14:textId="77777777" w:rsidR="005E4B4F" w:rsidRDefault="005E4B4F"/>
          <w:p w14:paraId="3840B528" w14:textId="32CCBEB7" w:rsidR="005E4B4F" w:rsidRDefault="00973849">
            <w:pPr>
              <w:pStyle w:val="SCCLsocParty"/>
            </w:pPr>
            <w:r>
              <w:t>Islamic Republic of Iran, Islamic Revolutionary Guard Corps, also known as Army of the Guardians of the Islamic Revolution also known as Iranian Revolutionary Guard Corps, Iranian Armed Forces, also known as Armed Forces of the Islamic Republic of Iran</w:t>
            </w:r>
            <w:r w:rsidR="00DB7098">
              <w:t>,</w:t>
            </w:r>
            <w:r>
              <w:t xml:space="preserve"> Ali Khamenei, also known as Supreme Leader of Iran, Mohammad Bagheri, also known as Mohammad-Hossein Afshordi, Hossein Salami, Seyyed Asdolrahim Mousavi and Amir Ali Hajizadeh</w:t>
            </w:r>
            <w:r>
              <w:br/>
            </w:r>
          </w:p>
          <w:p w14:paraId="25727FE6" w14:textId="77777777" w:rsidR="005E4B4F" w:rsidRDefault="00973849">
            <w:pPr>
              <w:pStyle w:val="SCCLsocPartyRole"/>
            </w:pPr>
            <w:r>
              <w:t>Respondents</w:t>
            </w:r>
          </w:p>
          <w:p w14:paraId="34A15A9F" w14:textId="77777777" w:rsidR="005E4B4F" w:rsidRDefault="005E4B4F"/>
          <w:p w14:paraId="2D1E44DA" w14:textId="77777777" w:rsidR="005E4B4F" w:rsidRDefault="00973849">
            <w:pPr>
              <w:pStyle w:val="SCCLsocVersus"/>
            </w:pPr>
            <w:r>
              <w:t>- and -</w:t>
            </w:r>
          </w:p>
          <w:p w14:paraId="7D4436C8" w14:textId="77777777" w:rsidR="005E4B4F" w:rsidRDefault="005E4B4F"/>
          <w:p w14:paraId="3CF6A3D2" w14:textId="77777777" w:rsidR="005E4B4F" w:rsidRDefault="00973849">
            <w:pPr>
              <w:pStyle w:val="SCCLsocParty"/>
            </w:pPr>
            <w:r>
              <w:t>Attorney General of Canada</w:t>
            </w:r>
          </w:p>
          <w:p w14:paraId="5CF79138" w14:textId="77777777" w:rsidR="005E4B4F" w:rsidRDefault="005E4B4F"/>
          <w:p w14:paraId="208AFAB2" w14:textId="77777777" w:rsidR="005E4B4F" w:rsidRDefault="00973849">
            <w:pPr>
              <w:pStyle w:val="SCCLsocPartyRole"/>
            </w:pPr>
            <w:r>
              <w:t>Intervener</w:t>
            </w:r>
          </w:p>
        </w:tc>
        <w:tc>
          <w:tcPr>
            <w:tcW w:w="339" w:type="pct"/>
          </w:tcPr>
          <w:p w14:paraId="0EC040FB" w14:textId="77777777" w:rsidR="00824412" w:rsidRPr="006E7BAE" w:rsidRDefault="00824412" w:rsidP="00375294"/>
        </w:tc>
        <w:tc>
          <w:tcPr>
            <w:tcW w:w="2375" w:type="pct"/>
          </w:tcPr>
          <w:p w14:paraId="0B0977FB" w14:textId="77777777" w:rsidR="00616C3E" w:rsidRDefault="00616C3E">
            <w:pPr>
              <w:pStyle w:val="SCCLsocPrefix"/>
              <w:rPr>
                <w:lang w:val="fr-CA"/>
              </w:rPr>
            </w:pPr>
          </w:p>
          <w:p w14:paraId="3712657E" w14:textId="77777777" w:rsidR="005E4B4F" w:rsidRPr="002A7017" w:rsidRDefault="00973849">
            <w:pPr>
              <w:pStyle w:val="SCCLsocPrefix"/>
              <w:rPr>
                <w:lang w:val="fr-CA"/>
              </w:rPr>
            </w:pPr>
            <w:r w:rsidRPr="002A7017">
              <w:rPr>
                <w:lang w:val="fr-CA"/>
              </w:rPr>
              <w:t>ENTRE :</w:t>
            </w:r>
          </w:p>
          <w:p w14:paraId="422EEAD9" w14:textId="77777777" w:rsidR="001A7DD7" w:rsidRPr="002A7017" w:rsidRDefault="001A7DD7" w:rsidP="002A7017">
            <w:pPr>
              <w:rPr>
                <w:lang w:val="fr-CA"/>
              </w:rPr>
            </w:pPr>
          </w:p>
          <w:p w14:paraId="57CC5E73" w14:textId="7EDA5DB2" w:rsidR="005E4B4F" w:rsidRDefault="00D17715">
            <w:pPr>
              <w:pStyle w:val="SCCLsocParty"/>
              <w:rPr>
                <w:lang w:val="fr-CA"/>
              </w:rPr>
            </w:pPr>
            <w:r w:rsidRPr="00AF27CE">
              <w:rPr>
                <w:szCs w:val="24"/>
                <w:lang w:val="fr-CA"/>
              </w:rPr>
              <w:t>Mehrzad Zarei personnellement et au nom de la succession de feu Arad Zarei ou à titre de représentant personnel de feu Arad Zarei, Shahin Moghaddam personnellement et au nom de la succession de feu Shakiba Feghahati ou à titre de représentant personnel de feu Shakiba Feghahati et au nom de la succession de feu Rosstin Moghaddam ou à titre de représentant personnel de feu Rosstin Moghaddam, Ali Gorji personnellement et au nom de la succession de feu Pouneh Gorji ou à titre de représentant personnel de feu Pouneh Gorji et au nom de la succession de feu Arash Pourzarradi ou à titre de représentant personnel de feu Arash Pourzarradi, John Doe</w:t>
            </w:r>
            <w:bookmarkStart w:id="0" w:name="_GoBack"/>
            <w:bookmarkEnd w:id="0"/>
            <w:r w:rsidRPr="00AF27CE">
              <w:rPr>
                <w:szCs w:val="24"/>
                <w:lang w:val="fr-CA"/>
              </w:rPr>
              <w:t>, Jane Doe, Bill Doe et Sam Do</w:t>
            </w:r>
            <w:r w:rsidR="00973849" w:rsidRPr="002A7017">
              <w:rPr>
                <w:lang w:val="fr-CA"/>
              </w:rPr>
              <w:br/>
            </w:r>
          </w:p>
          <w:p w14:paraId="4CE6D168" w14:textId="77777777" w:rsidR="00DB7098" w:rsidRPr="002A7017" w:rsidRDefault="00DB7098" w:rsidP="002A7017">
            <w:pPr>
              <w:rPr>
                <w:lang w:val="fr-CA"/>
              </w:rPr>
            </w:pPr>
          </w:p>
          <w:p w14:paraId="5650589D" w14:textId="77777777" w:rsidR="005E4B4F" w:rsidRPr="002A7017" w:rsidRDefault="00973849">
            <w:pPr>
              <w:pStyle w:val="SCCLsocPartyRole"/>
              <w:rPr>
                <w:lang w:val="fr-CA"/>
              </w:rPr>
            </w:pPr>
            <w:r w:rsidRPr="002A7017">
              <w:rPr>
                <w:lang w:val="fr-CA"/>
              </w:rPr>
              <w:t>Demandeurs</w:t>
            </w:r>
            <w:r w:rsidRPr="002A7017">
              <w:rPr>
                <w:lang w:val="fr-CA"/>
              </w:rPr>
              <w:br/>
            </w:r>
          </w:p>
          <w:p w14:paraId="63645C05" w14:textId="77777777" w:rsidR="005E4B4F" w:rsidRPr="002A7017" w:rsidRDefault="00973849">
            <w:pPr>
              <w:pStyle w:val="SCCLsocVersus"/>
              <w:rPr>
                <w:lang w:val="fr-CA"/>
              </w:rPr>
            </w:pPr>
            <w:r w:rsidRPr="002A7017">
              <w:rPr>
                <w:lang w:val="fr-CA"/>
              </w:rPr>
              <w:t>- et -</w:t>
            </w:r>
          </w:p>
          <w:p w14:paraId="1C2B159E" w14:textId="77777777" w:rsidR="005E4B4F" w:rsidRPr="002A7017" w:rsidRDefault="005E4B4F">
            <w:pPr>
              <w:rPr>
                <w:lang w:val="fr-CA"/>
              </w:rPr>
            </w:pPr>
          </w:p>
          <w:p w14:paraId="30FEE464" w14:textId="77777777" w:rsidR="00D17715" w:rsidRPr="00AF27CE" w:rsidRDefault="00D17715" w:rsidP="00D17715">
            <w:pPr>
              <w:pStyle w:val="SCCLsocParty"/>
              <w:rPr>
                <w:szCs w:val="24"/>
                <w:lang w:val="fr-CA"/>
              </w:rPr>
            </w:pPr>
            <w:r w:rsidRPr="00AF27CE">
              <w:rPr>
                <w:szCs w:val="24"/>
                <w:lang w:val="fr-CA"/>
              </w:rPr>
              <w:t xml:space="preserve">République islamique d’Iran, Corps des Gardiens de la révolution islamique, alias Gardiens de la révolution islamique, alias Corps de la Garde révolutionnaire iranienne, Forces armées iraniennes, alias Forces armées de la République islamique, Ali </w:t>
            </w:r>
            <w:r w:rsidRPr="00AF27CE">
              <w:rPr>
                <w:szCs w:val="24"/>
                <w:lang w:val="fr-CA"/>
              </w:rPr>
              <w:lastRenderedPageBreak/>
              <w:t>Khamenei, alias le chef suprême d’Iran, Mohammad Bagheri, alias Mohammad-Hossein Afshordi, Hossein Salami, Seyyed Asdolrahim Mousavi et Amir Ali Hajizadeh</w:t>
            </w:r>
          </w:p>
          <w:p w14:paraId="4DFC5859" w14:textId="77777777" w:rsidR="00DB7098" w:rsidRPr="002A7017" w:rsidRDefault="00DB7098">
            <w:pPr>
              <w:pStyle w:val="SCCLsocPartyRole"/>
              <w:rPr>
                <w:lang w:val="fr-CA"/>
              </w:rPr>
            </w:pPr>
          </w:p>
          <w:p w14:paraId="64D638CE" w14:textId="77777777" w:rsidR="00DB7098" w:rsidRPr="002A7017" w:rsidRDefault="00DB7098">
            <w:pPr>
              <w:pStyle w:val="SCCLsocPartyRole"/>
              <w:rPr>
                <w:lang w:val="fr-CA"/>
              </w:rPr>
            </w:pPr>
          </w:p>
          <w:p w14:paraId="094E14F3" w14:textId="77777777" w:rsidR="00DB7098" w:rsidRPr="002A7017" w:rsidRDefault="00DB7098">
            <w:pPr>
              <w:pStyle w:val="SCCLsocPartyRole"/>
              <w:rPr>
                <w:lang w:val="fr-CA"/>
              </w:rPr>
            </w:pPr>
          </w:p>
          <w:p w14:paraId="77B7207D" w14:textId="77777777" w:rsidR="005E4B4F" w:rsidRPr="00200154" w:rsidRDefault="00973849">
            <w:pPr>
              <w:pStyle w:val="SCCLsocPartyRole"/>
              <w:rPr>
                <w:lang w:val="fr-CA"/>
              </w:rPr>
            </w:pPr>
            <w:r w:rsidRPr="00200154">
              <w:rPr>
                <w:lang w:val="fr-CA"/>
              </w:rPr>
              <w:t>Intimés</w:t>
            </w:r>
            <w:r w:rsidRPr="00200154">
              <w:rPr>
                <w:lang w:val="fr-CA"/>
              </w:rPr>
              <w:br/>
            </w:r>
          </w:p>
          <w:p w14:paraId="47665312" w14:textId="77777777" w:rsidR="005E4B4F" w:rsidRPr="00200154" w:rsidRDefault="00973849">
            <w:pPr>
              <w:pStyle w:val="SCCLsocSubfileSeparator"/>
              <w:rPr>
                <w:lang w:val="fr-CA"/>
              </w:rPr>
            </w:pPr>
            <w:r w:rsidRPr="00200154">
              <w:rPr>
                <w:lang w:val="fr-CA"/>
              </w:rPr>
              <w:t>ET ENTRE :</w:t>
            </w:r>
          </w:p>
          <w:p w14:paraId="3B8DB687" w14:textId="77777777" w:rsidR="005E4B4F" w:rsidRPr="00200154" w:rsidRDefault="005E4B4F">
            <w:pPr>
              <w:rPr>
                <w:lang w:val="fr-CA"/>
              </w:rPr>
            </w:pPr>
          </w:p>
          <w:p w14:paraId="46A01C7A" w14:textId="0C62D5A6" w:rsidR="005E4B4F" w:rsidRPr="002A7017" w:rsidRDefault="00C0163A">
            <w:pPr>
              <w:pStyle w:val="SCCLsocParty"/>
              <w:rPr>
                <w:lang w:val="fr-CA"/>
              </w:rPr>
            </w:pPr>
            <w:r w:rsidRPr="00AF27CE">
              <w:rPr>
                <w:szCs w:val="24"/>
                <w:lang w:val="fr-CA"/>
              </w:rPr>
              <w:t>John Smith, Bill Smith, Sam Smith, Jane Smith, Mary Smith, Sally Smith, personnellement et au nom de la succession de feu des membres de leurs familles ou à titre de représentants personnels de feu des membres de leurs familles</w:t>
            </w:r>
            <w:r w:rsidR="00973849" w:rsidRPr="002A7017">
              <w:rPr>
                <w:lang w:val="fr-CA"/>
              </w:rPr>
              <w:br/>
            </w:r>
          </w:p>
          <w:p w14:paraId="07716072" w14:textId="28C068F4" w:rsidR="005E4B4F" w:rsidRPr="00200154" w:rsidRDefault="00973849">
            <w:pPr>
              <w:pStyle w:val="SCCLsocPartyRole"/>
              <w:rPr>
                <w:lang w:val="fr-CA"/>
              </w:rPr>
            </w:pPr>
            <w:r w:rsidRPr="00200154">
              <w:rPr>
                <w:lang w:val="fr-CA"/>
              </w:rPr>
              <w:t>Demandeur</w:t>
            </w:r>
            <w:r w:rsidR="001A7DD7" w:rsidRPr="00200154">
              <w:rPr>
                <w:lang w:val="fr-CA"/>
              </w:rPr>
              <w:t>s</w:t>
            </w:r>
            <w:r w:rsidRPr="00200154">
              <w:rPr>
                <w:lang w:val="fr-CA"/>
              </w:rPr>
              <w:br/>
            </w:r>
          </w:p>
          <w:p w14:paraId="238DAD03" w14:textId="77777777" w:rsidR="005E4B4F" w:rsidRPr="00200154" w:rsidRDefault="00973849">
            <w:pPr>
              <w:pStyle w:val="SCCLsocVersus"/>
              <w:rPr>
                <w:lang w:val="fr-CA"/>
              </w:rPr>
            </w:pPr>
            <w:r w:rsidRPr="00200154">
              <w:rPr>
                <w:lang w:val="fr-CA"/>
              </w:rPr>
              <w:t>- et -</w:t>
            </w:r>
          </w:p>
          <w:p w14:paraId="0D331D64" w14:textId="77777777" w:rsidR="005E4B4F" w:rsidRPr="00200154" w:rsidRDefault="005E4B4F">
            <w:pPr>
              <w:rPr>
                <w:lang w:val="fr-CA"/>
              </w:rPr>
            </w:pPr>
          </w:p>
          <w:p w14:paraId="296EAD44" w14:textId="54D8BC00" w:rsidR="00D17715" w:rsidRPr="00AF27CE" w:rsidRDefault="00D17715" w:rsidP="00D17715">
            <w:pPr>
              <w:pStyle w:val="SCCLsocParty"/>
              <w:rPr>
                <w:szCs w:val="24"/>
                <w:lang w:val="fr-CA"/>
              </w:rPr>
            </w:pPr>
            <w:r w:rsidRPr="00AF27CE">
              <w:rPr>
                <w:szCs w:val="24"/>
                <w:lang w:val="fr-CA"/>
              </w:rPr>
              <w:t>République islamique d’Iran, Corps des Gardiens de la révolution islamique, alias Gardiens de la révolution islamique, alias Corps de la Garde révolutionnaire iranienne, Forces armées iraniennes, alias Forces armées de la République islamique, Ali Khamenei, alias le chef suprême d’Iran, Mohammad Bagheri, alias Mohammad-Hossein Afshordi, Hossein Salami, Seyyed Asdolrahim Mousavi et Amir Ali Hajizadeh</w:t>
            </w:r>
          </w:p>
          <w:p w14:paraId="2ED9A483" w14:textId="77777777" w:rsidR="00C0163A" w:rsidRPr="002A7017" w:rsidRDefault="00C0163A">
            <w:pPr>
              <w:pStyle w:val="SCCLsocPartyRole"/>
              <w:rPr>
                <w:lang w:val="fr-CA"/>
              </w:rPr>
            </w:pPr>
          </w:p>
          <w:p w14:paraId="6E89071C" w14:textId="77777777" w:rsidR="00C0163A" w:rsidRPr="002A7017" w:rsidRDefault="00C0163A">
            <w:pPr>
              <w:pStyle w:val="SCCLsocPartyRole"/>
              <w:rPr>
                <w:lang w:val="fr-CA"/>
              </w:rPr>
            </w:pPr>
          </w:p>
          <w:p w14:paraId="19E2AEFE" w14:textId="77777777" w:rsidR="00C0163A" w:rsidRPr="002A7017" w:rsidRDefault="00C0163A">
            <w:pPr>
              <w:pStyle w:val="SCCLsocPartyRole"/>
              <w:rPr>
                <w:lang w:val="fr-CA"/>
              </w:rPr>
            </w:pPr>
          </w:p>
          <w:p w14:paraId="4D34E334" w14:textId="77777777" w:rsidR="005E4B4F" w:rsidRPr="00973849" w:rsidRDefault="00973849">
            <w:pPr>
              <w:pStyle w:val="SCCLsocPartyRole"/>
              <w:rPr>
                <w:lang w:val="fr-CA"/>
              </w:rPr>
            </w:pPr>
            <w:r w:rsidRPr="00973849">
              <w:rPr>
                <w:lang w:val="fr-CA"/>
              </w:rPr>
              <w:t>Intimés</w:t>
            </w:r>
          </w:p>
          <w:p w14:paraId="00FD3236" w14:textId="77777777" w:rsidR="005E4B4F" w:rsidRPr="00973849" w:rsidRDefault="005E4B4F">
            <w:pPr>
              <w:rPr>
                <w:lang w:val="fr-CA"/>
              </w:rPr>
            </w:pPr>
          </w:p>
          <w:p w14:paraId="0C7BFFD0" w14:textId="77777777" w:rsidR="005E4B4F" w:rsidRPr="00973849" w:rsidRDefault="00973849">
            <w:pPr>
              <w:pStyle w:val="SCCLsocVersus"/>
              <w:rPr>
                <w:lang w:val="fr-CA"/>
              </w:rPr>
            </w:pPr>
            <w:r w:rsidRPr="00973849">
              <w:rPr>
                <w:lang w:val="fr-CA"/>
              </w:rPr>
              <w:t>- et -</w:t>
            </w:r>
          </w:p>
          <w:p w14:paraId="0C1178E7" w14:textId="77777777" w:rsidR="005E4B4F" w:rsidRPr="00973849" w:rsidRDefault="005E4B4F">
            <w:pPr>
              <w:rPr>
                <w:lang w:val="fr-CA"/>
              </w:rPr>
            </w:pPr>
          </w:p>
          <w:p w14:paraId="1557E696" w14:textId="77777777" w:rsidR="005E4B4F" w:rsidRPr="00973849" w:rsidRDefault="00973849">
            <w:pPr>
              <w:pStyle w:val="SCCLsocParty"/>
              <w:rPr>
                <w:lang w:val="fr-CA"/>
              </w:rPr>
            </w:pPr>
            <w:r w:rsidRPr="00973849">
              <w:rPr>
                <w:lang w:val="fr-CA"/>
              </w:rPr>
              <w:t>Procureur général du Canada</w:t>
            </w:r>
          </w:p>
          <w:p w14:paraId="6835CE36" w14:textId="77777777" w:rsidR="005E4B4F" w:rsidRPr="00973849" w:rsidRDefault="005E4B4F">
            <w:pPr>
              <w:rPr>
                <w:lang w:val="fr-CA"/>
              </w:rPr>
            </w:pPr>
          </w:p>
          <w:p w14:paraId="7334DB46" w14:textId="77777777" w:rsidR="005E4B4F" w:rsidRDefault="00973849">
            <w:pPr>
              <w:pStyle w:val="SCCLsocPartyRole"/>
            </w:pPr>
            <w:r>
              <w:t>Intervenant</w:t>
            </w:r>
          </w:p>
        </w:tc>
      </w:tr>
      <w:tr w:rsidR="00824412" w:rsidRPr="006E7BAE" w14:paraId="58903D64" w14:textId="77777777" w:rsidTr="00200154">
        <w:tc>
          <w:tcPr>
            <w:tcW w:w="2286" w:type="pct"/>
            <w:tcMar>
              <w:top w:w="0" w:type="dxa"/>
              <w:bottom w:w="0" w:type="dxa"/>
            </w:tcMar>
          </w:tcPr>
          <w:p w14:paraId="4A9080E2" w14:textId="77777777" w:rsidR="00824412" w:rsidRPr="006E7BAE" w:rsidRDefault="00824412" w:rsidP="00375294"/>
        </w:tc>
        <w:tc>
          <w:tcPr>
            <w:tcW w:w="339" w:type="pct"/>
            <w:tcMar>
              <w:top w:w="0" w:type="dxa"/>
              <w:bottom w:w="0" w:type="dxa"/>
            </w:tcMar>
          </w:tcPr>
          <w:p w14:paraId="24AD3193" w14:textId="77777777" w:rsidR="00824412" w:rsidRPr="006E7BAE" w:rsidRDefault="00824412" w:rsidP="00375294"/>
        </w:tc>
        <w:tc>
          <w:tcPr>
            <w:tcW w:w="2375" w:type="pct"/>
            <w:tcMar>
              <w:top w:w="0" w:type="dxa"/>
              <w:bottom w:w="0" w:type="dxa"/>
            </w:tcMar>
          </w:tcPr>
          <w:p w14:paraId="23539538" w14:textId="77777777" w:rsidR="00824412" w:rsidRPr="00D83B8C" w:rsidRDefault="00824412" w:rsidP="00B408F8">
            <w:pPr>
              <w:rPr>
                <w:lang w:val="en-US"/>
              </w:rPr>
            </w:pPr>
          </w:p>
        </w:tc>
      </w:tr>
      <w:tr w:rsidR="00824412" w:rsidRPr="007D0778" w14:paraId="4E3EC4C0" w14:textId="77777777" w:rsidTr="00200154">
        <w:tc>
          <w:tcPr>
            <w:tcW w:w="2286" w:type="pct"/>
          </w:tcPr>
          <w:p w14:paraId="308FFA13" w14:textId="77777777" w:rsidR="00824412" w:rsidRPr="006E7BAE" w:rsidRDefault="00824412" w:rsidP="00C2612E">
            <w:pPr>
              <w:jc w:val="center"/>
            </w:pPr>
            <w:r w:rsidRPr="006E7BAE">
              <w:lastRenderedPageBreak/>
              <w:t>JUDGMENT</w:t>
            </w:r>
          </w:p>
          <w:p w14:paraId="1E796F17" w14:textId="77777777" w:rsidR="00824412" w:rsidRPr="006E7BAE" w:rsidRDefault="00824412" w:rsidP="00417FB7">
            <w:pPr>
              <w:jc w:val="center"/>
            </w:pPr>
          </w:p>
          <w:p w14:paraId="33A78412" w14:textId="62BC668A" w:rsidR="00824412" w:rsidRDefault="00973849" w:rsidP="00011960">
            <w:pPr>
              <w:jc w:val="both"/>
            </w:pPr>
            <w:r w:rsidRPr="00200154">
              <w:t xml:space="preserve">The </w:t>
            </w:r>
            <w:r w:rsidR="00DC3170" w:rsidRPr="00200154">
              <w:t xml:space="preserve">intervener’s </w:t>
            </w:r>
            <w:r w:rsidRPr="00200154">
              <w:t>motion for</w:t>
            </w:r>
            <w:r w:rsidR="00D17715" w:rsidRPr="00200154">
              <w:t xml:space="preserve"> an</w:t>
            </w:r>
            <w:r w:rsidRPr="00200154">
              <w:t xml:space="preserve"> extension of time to serve and file </w:t>
            </w:r>
            <w:r w:rsidR="00D17715" w:rsidRPr="00200154">
              <w:t xml:space="preserve">the </w:t>
            </w:r>
            <w:r w:rsidRPr="00200154">
              <w:t xml:space="preserve">response is granted. </w:t>
            </w:r>
            <w:r w:rsidR="00DC3170" w:rsidRPr="00200154">
              <w:t xml:space="preserve">The intervener’s motion for substituted service deeming the respondents to have been served with the response is granted. </w:t>
            </w:r>
            <w:r w:rsidR="00D17715" w:rsidRPr="00200154">
              <w:t>The</w:t>
            </w:r>
            <w:r w:rsidR="00DC3170" w:rsidRPr="00200154">
              <w:t xml:space="preserve"> intervener’s</w:t>
            </w:r>
            <w:r w:rsidR="00D17715" w:rsidRPr="00200154">
              <w:t xml:space="preserve"> motion </w:t>
            </w:r>
            <w:r w:rsidRPr="00200154">
              <w:t>to serve and file a lengthy memorandum of argument</w:t>
            </w:r>
            <w:r w:rsidR="00D17715" w:rsidRPr="00200154">
              <w:t xml:space="preserve"> is granted</w:t>
            </w:r>
            <w:r w:rsidRPr="00200154">
              <w:t>.</w:t>
            </w:r>
            <w:r w:rsidRPr="00155AC0">
              <w:t xml:space="preserve"> </w:t>
            </w:r>
            <w:r w:rsidR="00824412" w:rsidRPr="00155AC0">
              <w:t>The</w:t>
            </w:r>
            <w:r w:rsidR="00824412" w:rsidRPr="006E7BAE">
              <w:t xml:space="preserve"> app</w:t>
            </w:r>
            <w:r w:rsidR="00011960" w:rsidRPr="006E7BAE">
              <w:t>lication for leave to appeal from the judgment of the</w:t>
            </w:r>
            <w:bookmarkStart w:id="1" w:name="BM_1_"/>
            <w:bookmarkEnd w:id="1"/>
            <w:r w:rsidR="00824412" w:rsidRPr="006E7BAE">
              <w:t xml:space="preserve"> </w:t>
            </w:r>
            <w:r w:rsidR="00824412">
              <w:t>Court of Appeal for Ontario</w:t>
            </w:r>
            <w:r w:rsidR="00824412" w:rsidRPr="006E7BAE">
              <w:t xml:space="preserve">, </w:t>
            </w:r>
            <w:r w:rsidR="00DC3170">
              <w:t xml:space="preserve">Number </w:t>
            </w:r>
            <w:r>
              <w:t>COA-23-CV-0095</w:t>
            </w:r>
            <w:r w:rsidRPr="006E7BAE">
              <w:t xml:space="preserve">, </w:t>
            </w:r>
            <w:r w:rsidR="00773852" w:rsidRPr="00200154">
              <w:rPr>
                <w:rStyle w:val="Hyperlink"/>
                <w:color w:val="000000" w:themeColor="text1"/>
                <w:u w:val="none"/>
              </w:rPr>
              <w:t>2023 ONCA 713</w:t>
            </w:r>
            <w:r w:rsidR="00824412">
              <w:t xml:space="preserve">, </w:t>
            </w:r>
            <w:r w:rsidR="00824412" w:rsidRPr="006E7BAE">
              <w:t xml:space="preserve">dated </w:t>
            </w:r>
            <w:r w:rsidR="00824412">
              <w:t>October 27, 2023</w:t>
            </w:r>
            <w:r w:rsidR="0090235B">
              <w:t>,</w:t>
            </w:r>
            <w:r w:rsidR="00824412" w:rsidRPr="006E7BAE">
              <w:t xml:space="preserve"> is </w:t>
            </w:r>
            <w:r>
              <w:t>dismissed</w:t>
            </w:r>
            <w:r w:rsidR="00824412" w:rsidRPr="006E7BAE">
              <w:t>.</w:t>
            </w:r>
          </w:p>
          <w:p w14:paraId="3C8281A7" w14:textId="77777777" w:rsidR="003F6511" w:rsidRDefault="003F6511" w:rsidP="00011960">
            <w:pPr>
              <w:jc w:val="both"/>
            </w:pPr>
          </w:p>
          <w:p w14:paraId="75B4B8B5" w14:textId="0D62535F" w:rsidR="003F6511" w:rsidRPr="006E7BAE" w:rsidRDefault="003F6511" w:rsidP="00011960">
            <w:pPr>
              <w:jc w:val="both"/>
            </w:pPr>
          </w:p>
        </w:tc>
        <w:tc>
          <w:tcPr>
            <w:tcW w:w="339" w:type="pct"/>
          </w:tcPr>
          <w:p w14:paraId="311EFE2D" w14:textId="77777777" w:rsidR="00824412" w:rsidRPr="006E7BAE" w:rsidRDefault="00824412" w:rsidP="00417FB7">
            <w:pPr>
              <w:jc w:val="center"/>
            </w:pPr>
          </w:p>
        </w:tc>
        <w:tc>
          <w:tcPr>
            <w:tcW w:w="2375" w:type="pct"/>
          </w:tcPr>
          <w:p w14:paraId="0D09D918" w14:textId="77777777" w:rsidR="00824412" w:rsidRPr="002A7017" w:rsidRDefault="00824412" w:rsidP="00C2612E">
            <w:pPr>
              <w:jc w:val="center"/>
              <w:rPr>
                <w:lang w:val="fr-CA"/>
              </w:rPr>
            </w:pPr>
            <w:r w:rsidRPr="002A7017">
              <w:rPr>
                <w:lang w:val="fr-CA"/>
              </w:rPr>
              <w:t>JUGEMENT</w:t>
            </w:r>
          </w:p>
          <w:p w14:paraId="4DDA31E7" w14:textId="77777777" w:rsidR="00824412" w:rsidRPr="002A7017" w:rsidRDefault="00824412" w:rsidP="00417FB7">
            <w:pPr>
              <w:jc w:val="center"/>
              <w:rPr>
                <w:lang w:val="fr-CA"/>
              </w:rPr>
            </w:pPr>
          </w:p>
          <w:p w14:paraId="46B94FFF" w14:textId="6B14A0CD" w:rsidR="003F6511" w:rsidRPr="006E7BAE" w:rsidRDefault="00773852">
            <w:pPr>
              <w:jc w:val="both"/>
              <w:rPr>
                <w:lang w:val="fr-CA"/>
              </w:rPr>
            </w:pPr>
            <w:r>
              <w:rPr>
                <w:lang w:val="fr-CA"/>
              </w:rPr>
              <w:t xml:space="preserve">La requête </w:t>
            </w:r>
            <w:r w:rsidR="009E3EC6">
              <w:rPr>
                <w:lang w:val="fr-CA"/>
              </w:rPr>
              <w:t xml:space="preserve">de la partie intervenante </w:t>
            </w:r>
            <w:r>
              <w:rPr>
                <w:lang w:val="fr-CA"/>
              </w:rPr>
              <w:t xml:space="preserve">en prolongation du délai pour la signification et le dépôt de </w:t>
            </w:r>
            <w:r w:rsidR="009E3EC6">
              <w:rPr>
                <w:lang w:val="fr-CA"/>
              </w:rPr>
              <w:t xml:space="preserve">la </w:t>
            </w:r>
            <w:r>
              <w:rPr>
                <w:lang w:val="fr-CA"/>
              </w:rPr>
              <w:t>réponse est</w:t>
            </w:r>
            <w:r w:rsidR="00C0163A">
              <w:rPr>
                <w:lang w:val="fr-CA"/>
              </w:rPr>
              <w:t xml:space="preserve"> accueillie</w:t>
            </w:r>
            <w:r w:rsidRPr="00155AC0">
              <w:rPr>
                <w:lang w:val="fr-CA"/>
              </w:rPr>
              <w:t xml:space="preserve">. </w:t>
            </w:r>
            <w:r w:rsidR="002A7017" w:rsidRPr="00155AC0">
              <w:rPr>
                <w:lang w:val="fr-CA"/>
              </w:rPr>
              <w:t xml:space="preserve">La requête </w:t>
            </w:r>
            <w:r w:rsidR="00DF60E9" w:rsidRPr="00200154">
              <w:rPr>
                <w:lang w:val="fr-CA"/>
              </w:rPr>
              <w:t xml:space="preserve">de la partie intervenante </w:t>
            </w:r>
            <w:r w:rsidR="002A7017" w:rsidRPr="00155AC0">
              <w:rPr>
                <w:lang w:val="fr-CA"/>
              </w:rPr>
              <w:t xml:space="preserve">pour </w:t>
            </w:r>
            <w:r w:rsidR="00C94573" w:rsidRPr="00155AC0">
              <w:rPr>
                <w:lang w:val="fr-CA"/>
              </w:rPr>
              <w:t xml:space="preserve">la signification différente de la réponse aux intimés est accueillie. </w:t>
            </w:r>
            <w:r w:rsidRPr="00155AC0">
              <w:rPr>
                <w:lang w:val="fr-CA"/>
              </w:rPr>
              <w:t xml:space="preserve">La requête </w:t>
            </w:r>
            <w:r w:rsidR="009E3EC6" w:rsidRPr="00200154">
              <w:rPr>
                <w:lang w:val="fr-CA"/>
              </w:rPr>
              <w:t xml:space="preserve">de la partie intervenante </w:t>
            </w:r>
            <w:r w:rsidRPr="00155AC0">
              <w:rPr>
                <w:lang w:val="fr-CA"/>
              </w:rPr>
              <w:t>pour la signification et le dépôt d’un mémoire volumineux</w:t>
            </w:r>
            <w:r w:rsidR="00C94573" w:rsidRPr="00155AC0">
              <w:rPr>
                <w:lang w:val="fr-CA"/>
              </w:rPr>
              <w:t xml:space="preserve"> </w:t>
            </w:r>
            <w:r w:rsidRPr="00155AC0">
              <w:rPr>
                <w:lang w:val="fr-CA"/>
              </w:rPr>
              <w:t>est</w:t>
            </w:r>
            <w:r w:rsidR="009E021B" w:rsidRPr="00155AC0">
              <w:rPr>
                <w:lang w:val="fr-CA"/>
              </w:rPr>
              <w:t xml:space="preserve"> accueillie</w:t>
            </w:r>
            <w:r w:rsidRPr="00155AC0">
              <w:rPr>
                <w:lang w:val="fr-CA"/>
              </w:rPr>
              <w:t>.</w:t>
            </w:r>
            <w:r w:rsidR="009E021B" w:rsidRPr="00155AC0">
              <w:rPr>
                <w:lang w:val="fr-CA"/>
              </w:rPr>
              <w:t xml:space="preserve"> </w:t>
            </w:r>
            <w:r w:rsidR="00824412" w:rsidRPr="00155AC0">
              <w:rPr>
                <w:lang w:val="fr-CA"/>
              </w:rPr>
              <w:t>L</w:t>
            </w:r>
            <w:r w:rsidR="00011960" w:rsidRPr="00155AC0">
              <w:rPr>
                <w:lang w:val="fr-CA"/>
              </w:rPr>
              <w:t>a</w:t>
            </w:r>
            <w:r w:rsidR="00011960" w:rsidRPr="006E7BAE">
              <w:rPr>
                <w:lang w:val="fr-CA"/>
              </w:rPr>
              <w:t xml:space="preserve"> demande d’autorisation d’appel de l’arrêt de la</w:t>
            </w:r>
            <w:r w:rsidR="00824412" w:rsidRPr="006E7BAE">
              <w:rPr>
                <w:lang w:val="fr-CA"/>
              </w:rPr>
              <w:t xml:space="preserve"> </w:t>
            </w:r>
            <w:r w:rsidR="00824412" w:rsidRPr="00973849">
              <w:rPr>
                <w:lang w:val="fr-CA"/>
              </w:rPr>
              <w:t>Cour d’appel de l’Ontario</w:t>
            </w:r>
            <w:r w:rsidR="00824412" w:rsidRPr="006E7BAE">
              <w:rPr>
                <w:lang w:val="fr-CA"/>
              </w:rPr>
              <w:t xml:space="preserve">, </w:t>
            </w:r>
            <w:r w:rsidR="00DC3170">
              <w:rPr>
                <w:lang w:val="fr-CA"/>
              </w:rPr>
              <w:t xml:space="preserve">numéro </w:t>
            </w:r>
            <w:r w:rsidR="00973849" w:rsidRPr="00973849">
              <w:rPr>
                <w:lang w:val="fr-CA"/>
              </w:rPr>
              <w:t>COA-23-CV-0095</w:t>
            </w:r>
            <w:r w:rsidR="00973849" w:rsidRPr="006E7BAE">
              <w:rPr>
                <w:lang w:val="fr-CA"/>
              </w:rPr>
              <w:t xml:space="preserve">, </w:t>
            </w:r>
            <w:r w:rsidRPr="00200154">
              <w:rPr>
                <w:rStyle w:val="Hyperlink"/>
                <w:color w:val="000000" w:themeColor="text1"/>
                <w:u w:val="none"/>
                <w:lang w:val="fr-CA"/>
              </w:rPr>
              <w:t>2023 ONCA 713</w:t>
            </w:r>
            <w:r w:rsidR="00824412" w:rsidRPr="00973849">
              <w:rPr>
                <w:lang w:val="fr-CA"/>
              </w:rPr>
              <w:t xml:space="preserve">, </w:t>
            </w:r>
            <w:r w:rsidR="00011960" w:rsidRPr="006E7BAE">
              <w:rPr>
                <w:lang w:val="fr-CA"/>
              </w:rPr>
              <w:t>daté du</w:t>
            </w:r>
            <w:r w:rsidR="00824412" w:rsidRPr="006E7BAE">
              <w:rPr>
                <w:lang w:val="fr-CA"/>
              </w:rPr>
              <w:t xml:space="preserve"> </w:t>
            </w:r>
            <w:r w:rsidR="00824412" w:rsidRPr="00973849">
              <w:rPr>
                <w:lang w:val="fr-CA"/>
              </w:rPr>
              <w:t>27 octobre 2023</w:t>
            </w:r>
            <w:r w:rsidR="00824412" w:rsidRPr="006E7BAE">
              <w:rPr>
                <w:lang w:val="fr-CA"/>
              </w:rPr>
              <w:t xml:space="preserve">, est </w:t>
            </w:r>
            <w:r w:rsidR="00973849">
              <w:rPr>
                <w:lang w:val="fr-CA"/>
              </w:rPr>
              <w:t>rejetée</w:t>
            </w:r>
            <w:r w:rsidR="00824412" w:rsidRPr="006E7BAE">
              <w:rPr>
                <w:lang w:val="fr-CA"/>
              </w:rPr>
              <w:t>.</w:t>
            </w:r>
            <w:r w:rsidR="00011960" w:rsidRPr="006E7BAE">
              <w:rPr>
                <w:lang w:val="fr-CA"/>
              </w:rPr>
              <w:t xml:space="preserve"> </w:t>
            </w:r>
          </w:p>
        </w:tc>
      </w:tr>
    </w:tbl>
    <w:p w14:paraId="590ECECB" w14:textId="77777777" w:rsidR="009F436C" w:rsidRPr="00D83B8C" w:rsidRDefault="009F436C" w:rsidP="00382FEC">
      <w:pPr>
        <w:rPr>
          <w:lang w:val="fr-CA"/>
        </w:rPr>
      </w:pPr>
    </w:p>
    <w:p w14:paraId="282021CE" w14:textId="77777777" w:rsidR="009F436C" w:rsidRDefault="009F436C" w:rsidP="00417FB7">
      <w:pPr>
        <w:jc w:val="center"/>
        <w:rPr>
          <w:lang w:val="fr-CA"/>
        </w:rPr>
      </w:pPr>
    </w:p>
    <w:p w14:paraId="53CD8CB1" w14:textId="77777777" w:rsidR="00773852" w:rsidRPr="00D83B8C" w:rsidRDefault="00773852" w:rsidP="00417FB7">
      <w:pPr>
        <w:jc w:val="center"/>
        <w:rPr>
          <w:lang w:val="fr-CA"/>
        </w:rPr>
      </w:pPr>
    </w:p>
    <w:p w14:paraId="73BDB06D" w14:textId="77777777" w:rsidR="009F436C" w:rsidRPr="00D83B8C" w:rsidRDefault="009F436C" w:rsidP="00417FB7">
      <w:pPr>
        <w:jc w:val="center"/>
        <w:rPr>
          <w:lang w:val="fr-CA"/>
        </w:rPr>
      </w:pPr>
    </w:p>
    <w:p w14:paraId="4F264892" w14:textId="77777777" w:rsidR="009F436C" w:rsidRPr="00A252FA" w:rsidRDefault="003A37CF" w:rsidP="00417FB7">
      <w:pPr>
        <w:jc w:val="center"/>
        <w:rPr>
          <w:lang w:val="fr-CA"/>
        </w:rPr>
      </w:pPr>
      <w:r w:rsidRPr="00A252FA">
        <w:rPr>
          <w:lang w:val="fr-CA"/>
        </w:rPr>
        <w:t>J.S.C.C.</w:t>
      </w:r>
    </w:p>
    <w:p w14:paraId="0ABAF65D" w14:textId="77777777" w:rsidR="008F53F3" w:rsidRPr="00A252FA" w:rsidRDefault="003A37CF" w:rsidP="00417FB7">
      <w:pPr>
        <w:jc w:val="center"/>
        <w:rPr>
          <w:lang w:val="fr-CA"/>
        </w:rPr>
      </w:pPr>
      <w:r w:rsidRPr="00A252FA">
        <w:rPr>
          <w:lang w:val="fr-CA"/>
        </w:rPr>
        <w:t>J.C.S.C.</w:t>
      </w:r>
    </w:p>
    <w:p w14:paraId="418A01C9" w14:textId="77777777" w:rsidR="003A37CF" w:rsidRPr="00D83B8C" w:rsidRDefault="003A37CF" w:rsidP="00973849">
      <w:pPr>
        <w:spacing w:after="200" w:line="276" w:lineRule="auto"/>
        <w:rPr>
          <w:lang w:val="fr-CA"/>
        </w:rPr>
      </w:pPr>
    </w:p>
    <w:sectPr w:rsidR="003A37CF" w:rsidRPr="00D83B8C" w:rsidSect="003D3551">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25FAF" w14:textId="77777777" w:rsidR="00983D48" w:rsidRDefault="00983D48">
      <w:r>
        <w:separator/>
      </w:r>
    </w:p>
  </w:endnote>
  <w:endnote w:type="continuationSeparator" w:id="0">
    <w:p w14:paraId="4ABD7419"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108E5" w14:textId="77777777" w:rsidR="00983D48" w:rsidRDefault="00983D48">
      <w:r>
        <w:separator/>
      </w:r>
    </w:p>
  </w:footnote>
  <w:footnote w:type="continuationSeparator" w:id="0">
    <w:p w14:paraId="4DCF19EC"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7E6B6"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0C54A5">
      <w:rPr>
        <w:noProof/>
        <w:szCs w:val="24"/>
      </w:rPr>
      <w:t>2</w:t>
    </w:r>
    <w:r w:rsidR="00EF707C" w:rsidRPr="00417FB7">
      <w:rPr>
        <w:szCs w:val="24"/>
      </w:rPr>
      <w:fldChar w:fldCharType="end"/>
    </w:r>
    <w:r>
      <w:rPr>
        <w:szCs w:val="24"/>
      </w:rPr>
      <w:t xml:space="preserve"> -</w:t>
    </w:r>
  </w:p>
  <w:p w14:paraId="342ACB54" w14:textId="77777777" w:rsidR="008F53F3" w:rsidRDefault="008F53F3" w:rsidP="008F53F3">
    <w:pPr>
      <w:rPr>
        <w:szCs w:val="24"/>
      </w:rPr>
    </w:pPr>
  </w:p>
  <w:p w14:paraId="68C72F0E" w14:textId="77777777" w:rsidR="008F53F3" w:rsidRDefault="008F53F3" w:rsidP="008F53F3">
    <w:pPr>
      <w:rPr>
        <w:szCs w:val="24"/>
      </w:rPr>
    </w:pPr>
  </w:p>
  <w:p w14:paraId="3C650840" w14:textId="77777777" w:rsidR="008F53F3" w:rsidRDefault="008F53F3" w:rsidP="008F53F3">
    <w:pPr>
      <w:tabs>
        <w:tab w:val="right" w:pos="9360"/>
      </w:tabs>
      <w:jc w:val="right"/>
      <w:rPr>
        <w:szCs w:val="24"/>
      </w:rPr>
    </w:pPr>
    <w:r>
      <w:rPr>
        <w:szCs w:val="24"/>
      </w:rPr>
      <w:t xml:space="preserve">No. </w:t>
    </w:r>
    <w:r>
      <w:t>41067</w:t>
    </w:r>
    <w:r>
      <w:rPr>
        <w:szCs w:val="24"/>
      </w:rPr>
      <w:t>     </w:t>
    </w:r>
  </w:p>
  <w:p w14:paraId="0AFA42C4"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555C3784" w14:textId="77777777" w:rsidR="0073151A" w:rsidRDefault="0073151A" w:rsidP="0073151A"/>
      <w:p w14:paraId="4DCA94A0" w14:textId="77777777" w:rsidR="0073151A" w:rsidRPr="006E7BAE" w:rsidRDefault="0073151A" w:rsidP="0073151A"/>
      <w:p w14:paraId="6FB49783" w14:textId="77777777" w:rsidR="0073151A" w:rsidRPr="006E7BAE" w:rsidRDefault="0073151A" w:rsidP="0073151A"/>
      <w:p w14:paraId="7E25712D" w14:textId="77777777" w:rsidR="0073151A" w:rsidRPr="006E7BAE" w:rsidRDefault="0073151A" w:rsidP="0073151A"/>
      <w:p w14:paraId="7D73BD76" w14:textId="77777777" w:rsidR="0073151A" w:rsidRDefault="0073151A" w:rsidP="0073151A"/>
      <w:p w14:paraId="5C384A48" w14:textId="77777777" w:rsidR="0073151A" w:rsidRDefault="0073151A" w:rsidP="0073151A"/>
      <w:p w14:paraId="76869414" w14:textId="77777777" w:rsidR="0073151A" w:rsidRDefault="0073151A" w:rsidP="0073151A"/>
      <w:p w14:paraId="23EBC0FF" w14:textId="77777777" w:rsidR="0073151A" w:rsidRDefault="0073151A" w:rsidP="0073151A"/>
      <w:p w14:paraId="2657C8AF" w14:textId="77777777" w:rsidR="0073151A" w:rsidRDefault="0073151A" w:rsidP="0073151A"/>
      <w:p w14:paraId="10BAB772" w14:textId="77777777" w:rsidR="0073151A" w:rsidRPr="006E7BAE" w:rsidRDefault="0073151A" w:rsidP="0073151A"/>
      <w:p w14:paraId="661C4A08" w14:textId="77777777" w:rsidR="00ED265D" w:rsidRPr="0073151A" w:rsidRDefault="000C54A5"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37302"/>
    <w:rsid w:val="0004338D"/>
    <w:rsid w:val="00054D01"/>
    <w:rsid w:val="00057FAF"/>
    <w:rsid w:val="00074657"/>
    <w:rsid w:val="00091327"/>
    <w:rsid w:val="000919B4"/>
    <w:rsid w:val="000A65FE"/>
    <w:rsid w:val="000B4AA7"/>
    <w:rsid w:val="000B76FF"/>
    <w:rsid w:val="000C54A5"/>
    <w:rsid w:val="000C5AF7"/>
    <w:rsid w:val="000D7521"/>
    <w:rsid w:val="000E4CCE"/>
    <w:rsid w:val="00110EB3"/>
    <w:rsid w:val="00155AC0"/>
    <w:rsid w:val="0016666F"/>
    <w:rsid w:val="00167C15"/>
    <w:rsid w:val="001A7DD7"/>
    <w:rsid w:val="001B3EC0"/>
    <w:rsid w:val="001D0116"/>
    <w:rsid w:val="001D4323"/>
    <w:rsid w:val="001E1079"/>
    <w:rsid w:val="00200154"/>
    <w:rsid w:val="00203642"/>
    <w:rsid w:val="00212BA0"/>
    <w:rsid w:val="002523DE"/>
    <w:rsid w:val="002568D3"/>
    <w:rsid w:val="0027284C"/>
    <w:rsid w:val="002A7017"/>
    <w:rsid w:val="002B5FA6"/>
    <w:rsid w:val="002C6423"/>
    <w:rsid w:val="002D2D44"/>
    <w:rsid w:val="0031097F"/>
    <w:rsid w:val="0031165C"/>
    <w:rsid w:val="00326E5F"/>
    <w:rsid w:val="00335879"/>
    <w:rsid w:val="00354E8D"/>
    <w:rsid w:val="00356186"/>
    <w:rsid w:val="00374E7D"/>
    <w:rsid w:val="00375294"/>
    <w:rsid w:val="00382FC7"/>
    <w:rsid w:val="00382FEC"/>
    <w:rsid w:val="00385A90"/>
    <w:rsid w:val="003A37CF"/>
    <w:rsid w:val="003B1F3D"/>
    <w:rsid w:val="003D3551"/>
    <w:rsid w:val="003F6511"/>
    <w:rsid w:val="00410EDC"/>
    <w:rsid w:val="00414694"/>
    <w:rsid w:val="00417FB7"/>
    <w:rsid w:val="0042783F"/>
    <w:rsid w:val="004943CF"/>
    <w:rsid w:val="004956DA"/>
    <w:rsid w:val="004D4658"/>
    <w:rsid w:val="004E557E"/>
    <w:rsid w:val="00543EDD"/>
    <w:rsid w:val="0055345D"/>
    <w:rsid w:val="00563E2C"/>
    <w:rsid w:val="00581E3B"/>
    <w:rsid w:val="00587869"/>
    <w:rsid w:val="005E4B4F"/>
    <w:rsid w:val="00612913"/>
    <w:rsid w:val="00614908"/>
    <w:rsid w:val="00616C3E"/>
    <w:rsid w:val="00650109"/>
    <w:rsid w:val="006E7BAE"/>
    <w:rsid w:val="00701109"/>
    <w:rsid w:val="0073151A"/>
    <w:rsid w:val="007372EA"/>
    <w:rsid w:val="00773852"/>
    <w:rsid w:val="00777612"/>
    <w:rsid w:val="0079129C"/>
    <w:rsid w:val="007917FE"/>
    <w:rsid w:val="007A54CC"/>
    <w:rsid w:val="007C5DE8"/>
    <w:rsid w:val="007D0778"/>
    <w:rsid w:val="007E68C7"/>
    <w:rsid w:val="00804BE2"/>
    <w:rsid w:val="00816B78"/>
    <w:rsid w:val="00824412"/>
    <w:rsid w:val="008262A3"/>
    <w:rsid w:val="00830BBE"/>
    <w:rsid w:val="0086042A"/>
    <w:rsid w:val="008763A3"/>
    <w:rsid w:val="008813BC"/>
    <w:rsid w:val="00894E45"/>
    <w:rsid w:val="00895263"/>
    <w:rsid w:val="008A0569"/>
    <w:rsid w:val="008A153F"/>
    <w:rsid w:val="008F376B"/>
    <w:rsid w:val="008F53F3"/>
    <w:rsid w:val="0090235B"/>
    <w:rsid w:val="009305BF"/>
    <w:rsid w:val="00951EF6"/>
    <w:rsid w:val="0096638C"/>
    <w:rsid w:val="00971A08"/>
    <w:rsid w:val="00973849"/>
    <w:rsid w:val="00983D48"/>
    <w:rsid w:val="009B161D"/>
    <w:rsid w:val="009D45DF"/>
    <w:rsid w:val="009E021B"/>
    <w:rsid w:val="009E0D8D"/>
    <w:rsid w:val="009E0F71"/>
    <w:rsid w:val="009E3EC6"/>
    <w:rsid w:val="009E7A46"/>
    <w:rsid w:val="009F26C4"/>
    <w:rsid w:val="009F436C"/>
    <w:rsid w:val="00A03153"/>
    <w:rsid w:val="00A103E3"/>
    <w:rsid w:val="00A24849"/>
    <w:rsid w:val="00A252FA"/>
    <w:rsid w:val="00AB4A38"/>
    <w:rsid w:val="00AB5E22"/>
    <w:rsid w:val="00AE2077"/>
    <w:rsid w:val="00B158E3"/>
    <w:rsid w:val="00B328CD"/>
    <w:rsid w:val="00B408F8"/>
    <w:rsid w:val="00B5078E"/>
    <w:rsid w:val="00B60EDC"/>
    <w:rsid w:val="00BC39BE"/>
    <w:rsid w:val="00BD4E4C"/>
    <w:rsid w:val="00BF7644"/>
    <w:rsid w:val="00C0163A"/>
    <w:rsid w:val="00C1285B"/>
    <w:rsid w:val="00C173B0"/>
    <w:rsid w:val="00C17F71"/>
    <w:rsid w:val="00C217CC"/>
    <w:rsid w:val="00C2612E"/>
    <w:rsid w:val="00C94573"/>
    <w:rsid w:val="00CB2B73"/>
    <w:rsid w:val="00CE249F"/>
    <w:rsid w:val="00CF17D0"/>
    <w:rsid w:val="00D17715"/>
    <w:rsid w:val="00D42339"/>
    <w:rsid w:val="00D61AC2"/>
    <w:rsid w:val="00D83B8C"/>
    <w:rsid w:val="00DA4281"/>
    <w:rsid w:val="00DB1ADC"/>
    <w:rsid w:val="00DB7098"/>
    <w:rsid w:val="00DC3170"/>
    <w:rsid w:val="00DD4332"/>
    <w:rsid w:val="00DF60E9"/>
    <w:rsid w:val="00E12A51"/>
    <w:rsid w:val="00E736B9"/>
    <w:rsid w:val="00E777AD"/>
    <w:rsid w:val="00EA4B61"/>
    <w:rsid w:val="00EC5EE0"/>
    <w:rsid w:val="00ED265D"/>
    <w:rsid w:val="00ED7D7D"/>
    <w:rsid w:val="00EE2A6C"/>
    <w:rsid w:val="00EF6754"/>
    <w:rsid w:val="00EF707C"/>
    <w:rsid w:val="00F06BF6"/>
    <w:rsid w:val="00F1759D"/>
    <w:rsid w:val="00F20569"/>
    <w:rsid w:val="00F40FBF"/>
    <w:rsid w:val="00F47372"/>
    <w:rsid w:val="00F5034C"/>
    <w:rsid w:val="00F67BEA"/>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8393A89"/>
  <w15:docId w15:val="{94A580B9-C0E8-4D45-B5AC-623E8552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 w:type="character" w:styleId="Hyperlink">
    <w:name w:val="Hyperlink"/>
    <w:basedOn w:val="DefaultParagraphFont"/>
    <w:uiPriority w:val="99"/>
    <w:unhideWhenUsed/>
    <w:rsid w:val="006D0B0D"/>
    <w:rPr>
      <w:color w:val="0000FF" w:themeColor="hyperlink"/>
      <w:u w:val="single"/>
    </w:rPr>
  </w:style>
  <w:style w:type="character" w:styleId="CommentReference">
    <w:name w:val="annotation reference"/>
    <w:basedOn w:val="DefaultParagraphFont"/>
    <w:uiPriority w:val="99"/>
    <w:semiHidden/>
    <w:unhideWhenUsed/>
    <w:rsid w:val="00C0163A"/>
    <w:rPr>
      <w:sz w:val="16"/>
      <w:szCs w:val="16"/>
    </w:rPr>
  </w:style>
  <w:style w:type="paragraph" w:styleId="CommentText">
    <w:name w:val="annotation text"/>
    <w:basedOn w:val="Normal"/>
    <w:link w:val="CommentTextChar"/>
    <w:uiPriority w:val="99"/>
    <w:semiHidden/>
    <w:unhideWhenUsed/>
    <w:rsid w:val="00C0163A"/>
    <w:rPr>
      <w:sz w:val="20"/>
      <w:szCs w:val="20"/>
    </w:rPr>
  </w:style>
  <w:style w:type="character" w:customStyle="1" w:styleId="CommentTextChar">
    <w:name w:val="Comment Text Char"/>
    <w:basedOn w:val="DefaultParagraphFont"/>
    <w:link w:val="CommentText"/>
    <w:uiPriority w:val="99"/>
    <w:semiHidden/>
    <w:rsid w:val="00C0163A"/>
    <w:rPr>
      <w:rFonts w:ascii="Times New Roman" w:eastAsiaTheme="minorHAnsi"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0163A"/>
    <w:rPr>
      <w:b/>
      <w:bCs/>
    </w:rPr>
  </w:style>
  <w:style w:type="character" w:customStyle="1" w:styleId="CommentSubjectChar">
    <w:name w:val="Comment Subject Char"/>
    <w:basedOn w:val="CommentTextChar"/>
    <w:link w:val="CommentSubject"/>
    <w:uiPriority w:val="99"/>
    <w:semiHidden/>
    <w:rsid w:val="00C0163A"/>
    <w:rPr>
      <w:rFonts w:ascii="Times New Roman" w:eastAsiaTheme="minorHAnsi" w:hAnsi="Times New Roman"/>
      <w:b/>
      <w:bCs/>
      <w:sz w:val="20"/>
      <w:szCs w:val="20"/>
      <w:lang w:eastAsia="en-US"/>
    </w:rPr>
  </w:style>
  <w:style w:type="paragraph" w:styleId="Revision">
    <w:name w:val="Revision"/>
    <w:hidden/>
    <w:uiPriority w:val="99"/>
    <w:semiHidden/>
    <w:rsid w:val="007D0778"/>
    <w:pPr>
      <w:spacing w:after="0" w:line="240" w:lineRule="auto"/>
    </w:pPr>
    <w:rPr>
      <w:rFonts w:ascii="Times New Roman" w:eastAsiaTheme="minorHAnsi"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39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3dee402bf2b8bf15df82b1b612c0c23">
  <xsd:schema xmlns:xsd="http://www.w3.org/2001/XMLSchema" xmlns:xs="http://www.w3.org/2001/XMLSchema" xmlns:p="http://schemas.microsoft.com/office/2006/metadata/properties" xmlns:ns2="40ae4924-d04e-473c-aafa-3657aad971d6" targetNamespace="http://schemas.microsoft.com/office/2006/metadata/properties" ma:root="true" ma:fieldsID="490d4c87335d7e59909e19827dd282d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1</Value>
    </CaseSensitivity>
    <AuthorContributor xmlns="40ae4924-d04e-473c-aafa-3657aad971d6">Karakatsanis; Rowe; Jamal</AuthorContributor>
    <FolderNameEn xmlns="40ae4924-d04e-473c-aafa-3657aad971d6">Leave Application - Judgment on Leave Application</FolderNameEn>
    <Case xmlns="40ae4924-d04e-473c-aafa-3657aad971d6">15520</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2024-05-30T04:00:00+00:00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Props1.xml><?xml version="1.0" encoding="utf-8"?>
<ds:datastoreItem xmlns:ds="http://schemas.openxmlformats.org/officeDocument/2006/customXml" ds:itemID="{7304A740-24E7-42AA-AE3A-85024DBB898B}">
  <ds:schemaRefs>
    <ds:schemaRef ds:uri="http://schemas.microsoft.com/sharepoint/v3/contenttype/forms"/>
  </ds:schemaRefs>
</ds:datastoreItem>
</file>

<file path=customXml/itemProps2.xml><?xml version="1.0" encoding="utf-8"?>
<ds:datastoreItem xmlns:ds="http://schemas.openxmlformats.org/officeDocument/2006/customXml" ds:itemID="{9EF4E867-F310-41F5-9309-5E91AAB45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46955C-4BC9-40BD-80B9-0BBBCFF10FD1}">
  <ds:schemaRefs>
    <ds:schemaRef ds:uri="http://schemas.microsoft.com/office/2006/metadata/properties"/>
    <ds:schemaRef ds:uri="http://schemas.microsoft.com/office/infopath/2007/PartnerControls"/>
    <ds:schemaRef ds:uri="40ae4924-d04e-473c-aafa-3657aad971d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746</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Carrière Caroline</dc:creator>
  <cp:lastModifiedBy>Carrière Caroline</cp:lastModifiedBy>
  <cp:revision>4</cp:revision>
  <dcterms:created xsi:type="dcterms:W3CDTF">2024-05-28T12:58:00Z</dcterms:created>
  <dcterms:modified xsi:type="dcterms:W3CDTF">2024-05-28T13:01:00Z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