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9779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41115</w:t>
      </w:r>
      <w:r w:rsidR="0016666F" w:rsidRPr="006E7BAE">
        <w:t>     </w:t>
      </w:r>
    </w:p>
    <w:p w14:paraId="699D9313" w14:textId="77777777" w:rsidR="009F436C" w:rsidRPr="006E7BAE" w:rsidRDefault="009F436C" w:rsidP="00382FEC"/>
    <w:p w14:paraId="5D203B28" w14:textId="77777777" w:rsidR="002568D3" w:rsidRPr="006E7BAE" w:rsidRDefault="002568D3" w:rsidP="00382FEC"/>
    <w:tbl>
      <w:tblPr>
        <w:tblW w:w="503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13"/>
        <w:gridCol w:w="4399"/>
      </w:tblGrid>
      <w:tr w:rsidR="00417FB7" w:rsidRPr="006E7BAE" w14:paraId="04DBFB64" w14:textId="77777777" w:rsidTr="00DE0382">
        <w:tc>
          <w:tcPr>
            <w:tcW w:w="2290" w:type="pct"/>
          </w:tcPr>
          <w:p w14:paraId="388A6604" w14:textId="77777777" w:rsidR="00417FB7" w:rsidRPr="006E7BAE" w:rsidRDefault="000E383B" w:rsidP="008262A3">
            <w:r>
              <w:t>June 6</w:t>
            </w:r>
            <w:r w:rsidR="00543EDD">
              <w:t>, 2024</w:t>
            </w:r>
          </w:p>
        </w:tc>
        <w:tc>
          <w:tcPr>
            <w:tcW w:w="378" w:type="pct"/>
          </w:tcPr>
          <w:p w14:paraId="3078844A" w14:textId="77777777" w:rsidR="00417FB7" w:rsidRPr="006E7BAE" w:rsidRDefault="00417FB7" w:rsidP="00382FEC"/>
        </w:tc>
        <w:tc>
          <w:tcPr>
            <w:tcW w:w="2332" w:type="pct"/>
          </w:tcPr>
          <w:p w14:paraId="1A77E6BF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0E383B">
              <w:t>6 juin</w:t>
            </w:r>
            <w:r>
              <w:t xml:space="preserve"> 2024</w:t>
            </w:r>
          </w:p>
        </w:tc>
      </w:tr>
      <w:tr w:rsidR="00E12A51" w:rsidRPr="006E7BAE" w14:paraId="7BD99EBF" w14:textId="77777777" w:rsidTr="00DE0382">
        <w:tc>
          <w:tcPr>
            <w:tcW w:w="2290" w:type="pct"/>
            <w:tcMar>
              <w:top w:w="0" w:type="dxa"/>
              <w:bottom w:w="0" w:type="dxa"/>
            </w:tcMar>
          </w:tcPr>
          <w:p w14:paraId="0647E22E" w14:textId="77777777" w:rsidR="00C2612E" w:rsidRPr="006E7BAE" w:rsidRDefault="00C2612E" w:rsidP="008262A3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0EBCB0B1" w14:textId="77777777" w:rsidR="00E12A51" w:rsidRPr="006E7BAE" w:rsidRDefault="00E12A51" w:rsidP="00382FEC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77D32FB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A59EDE8" w14:textId="77777777" w:rsidTr="00DE0382">
        <w:tc>
          <w:tcPr>
            <w:tcW w:w="2290" w:type="pct"/>
          </w:tcPr>
          <w:p w14:paraId="66ABF28E" w14:textId="77777777" w:rsidR="00AD196C" w:rsidRDefault="00AD196C"/>
          <w:p w14:paraId="6D852473" w14:textId="77777777" w:rsidR="00AD196C" w:rsidRDefault="00A52ECD">
            <w:pPr>
              <w:pStyle w:val="SCCLsocPrefix"/>
            </w:pPr>
            <w:r>
              <w:t>BETWEEN:</w:t>
            </w:r>
          </w:p>
          <w:p w14:paraId="27D43B14" w14:textId="77777777" w:rsidR="00A52ECD" w:rsidRPr="00A52ECD" w:rsidRDefault="00A52ECD" w:rsidP="00A52ECD"/>
          <w:p w14:paraId="13EB25F1" w14:textId="77777777" w:rsidR="00AD196C" w:rsidRDefault="00A52ECD">
            <w:pPr>
              <w:pStyle w:val="SCCLsocParty"/>
            </w:pPr>
            <w:r>
              <w:t>Jaedyin Riquan Barnes</w:t>
            </w:r>
            <w:r>
              <w:br/>
            </w:r>
          </w:p>
          <w:p w14:paraId="3F1B4074" w14:textId="77777777" w:rsidR="00AD196C" w:rsidRDefault="00A52ECD">
            <w:pPr>
              <w:pStyle w:val="SCCLsocPartyRole"/>
            </w:pPr>
            <w:r>
              <w:t>Applicant</w:t>
            </w:r>
            <w:r>
              <w:br/>
            </w:r>
          </w:p>
          <w:p w14:paraId="13847AEF" w14:textId="77777777" w:rsidR="00AD196C" w:rsidRDefault="00A52ECD">
            <w:pPr>
              <w:pStyle w:val="SCCLsocVersus"/>
            </w:pPr>
            <w:r>
              <w:t>- and -</w:t>
            </w:r>
          </w:p>
          <w:p w14:paraId="5C6CDFAA" w14:textId="77777777" w:rsidR="00AD196C" w:rsidRDefault="00AD196C"/>
          <w:p w14:paraId="57CD697A" w14:textId="77777777" w:rsidR="00AD196C" w:rsidRDefault="00A52ECD">
            <w:pPr>
              <w:pStyle w:val="SCCLsocParty"/>
            </w:pPr>
            <w:r>
              <w:t>Attorney General of Canada, on behalf of the United States of America</w:t>
            </w:r>
            <w:r>
              <w:br/>
            </w:r>
          </w:p>
          <w:p w14:paraId="7E545CA9" w14:textId="77777777" w:rsidR="00AD196C" w:rsidRDefault="00A52ECD">
            <w:pPr>
              <w:pStyle w:val="SCCLsocPartyRole"/>
            </w:pPr>
            <w:r>
              <w:t>Respondent</w:t>
            </w:r>
          </w:p>
        </w:tc>
        <w:tc>
          <w:tcPr>
            <w:tcW w:w="378" w:type="pct"/>
          </w:tcPr>
          <w:p w14:paraId="0573BC74" w14:textId="77777777" w:rsidR="00824412" w:rsidRPr="006E7BAE" w:rsidRDefault="00824412" w:rsidP="00375294"/>
        </w:tc>
        <w:tc>
          <w:tcPr>
            <w:tcW w:w="2332" w:type="pct"/>
          </w:tcPr>
          <w:p w14:paraId="441167C3" w14:textId="77777777" w:rsidR="00AD196C" w:rsidRPr="00C6330E" w:rsidRDefault="00AD196C">
            <w:pPr>
              <w:rPr>
                <w:lang w:val="fr-CA"/>
              </w:rPr>
            </w:pPr>
          </w:p>
          <w:p w14:paraId="6AC67177" w14:textId="77777777" w:rsidR="00AD196C" w:rsidRDefault="00A52ECD">
            <w:pPr>
              <w:pStyle w:val="SCCLsocPrefix"/>
              <w:rPr>
                <w:lang w:val="fr-CA"/>
              </w:rPr>
            </w:pPr>
            <w:r w:rsidRPr="00C6330E">
              <w:rPr>
                <w:lang w:val="fr-CA"/>
              </w:rPr>
              <w:t>ENTRE :</w:t>
            </w:r>
          </w:p>
          <w:p w14:paraId="59FBC2F6" w14:textId="77777777" w:rsidR="00A52ECD" w:rsidRPr="00A52ECD" w:rsidRDefault="00A52ECD" w:rsidP="00A52ECD">
            <w:pPr>
              <w:rPr>
                <w:lang w:val="fr-CA"/>
              </w:rPr>
            </w:pPr>
          </w:p>
          <w:p w14:paraId="2A734464" w14:textId="77777777" w:rsidR="00AD196C" w:rsidRPr="00C6330E" w:rsidRDefault="00A52ECD">
            <w:pPr>
              <w:pStyle w:val="SCCLsocParty"/>
              <w:rPr>
                <w:lang w:val="fr-CA"/>
              </w:rPr>
            </w:pPr>
            <w:r w:rsidRPr="00C6330E">
              <w:rPr>
                <w:lang w:val="fr-CA"/>
              </w:rPr>
              <w:t>Jaedyin Riquan Barnes</w:t>
            </w:r>
            <w:r w:rsidRPr="00C6330E">
              <w:rPr>
                <w:lang w:val="fr-CA"/>
              </w:rPr>
              <w:br/>
            </w:r>
          </w:p>
          <w:p w14:paraId="23136ED2" w14:textId="77777777" w:rsidR="00AD196C" w:rsidRPr="00C6330E" w:rsidRDefault="00A52ECD">
            <w:pPr>
              <w:pStyle w:val="SCCLsocPartyRole"/>
              <w:rPr>
                <w:lang w:val="fr-CA"/>
              </w:rPr>
            </w:pPr>
            <w:r w:rsidRPr="00C6330E">
              <w:rPr>
                <w:lang w:val="fr-CA"/>
              </w:rPr>
              <w:t>Demandeur</w:t>
            </w:r>
            <w:r w:rsidRPr="00C6330E">
              <w:rPr>
                <w:lang w:val="fr-CA"/>
              </w:rPr>
              <w:br/>
            </w:r>
          </w:p>
          <w:p w14:paraId="3B8F347F" w14:textId="77777777" w:rsidR="00AD196C" w:rsidRPr="00C6330E" w:rsidRDefault="00A52ECD">
            <w:pPr>
              <w:pStyle w:val="SCCLsocVersus"/>
              <w:rPr>
                <w:lang w:val="fr-CA"/>
              </w:rPr>
            </w:pPr>
            <w:r w:rsidRPr="00C6330E">
              <w:rPr>
                <w:lang w:val="fr-CA"/>
              </w:rPr>
              <w:t>- et -</w:t>
            </w:r>
          </w:p>
          <w:p w14:paraId="7FDDCD8A" w14:textId="77777777" w:rsidR="00AD196C" w:rsidRPr="00C6330E" w:rsidRDefault="00AD196C">
            <w:pPr>
              <w:rPr>
                <w:lang w:val="fr-CA"/>
              </w:rPr>
            </w:pPr>
          </w:p>
          <w:p w14:paraId="7B232C6D" w14:textId="77777777" w:rsidR="00AD196C" w:rsidRPr="00C6330E" w:rsidRDefault="00A52ECD">
            <w:pPr>
              <w:pStyle w:val="SCCLsocParty"/>
              <w:rPr>
                <w:lang w:val="fr-CA"/>
              </w:rPr>
            </w:pPr>
            <w:r w:rsidRPr="00C6330E">
              <w:rPr>
                <w:lang w:val="fr-CA"/>
              </w:rPr>
              <w:t>Procureur général du Canada, au nom des États-Unis d’Amérique</w:t>
            </w:r>
            <w:r w:rsidRPr="00C6330E">
              <w:rPr>
                <w:lang w:val="fr-CA"/>
              </w:rPr>
              <w:br/>
            </w:r>
          </w:p>
          <w:p w14:paraId="0F6C5733" w14:textId="77777777" w:rsidR="00AD196C" w:rsidRDefault="00A52ECD">
            <w:pPr>
              <w:pStyle w:val="SCCLsocPartyRole"/>
            </w:pPr>
            <w:r>
              <w:t>Intimé</w:t>
            </w:r>
          </w:p>
        </w:tc>
      </w:tr>
      <w:tr w:rsidR="00824412" w:rsidRPr="006E7BAE" w14:paraId="3A72C44B" w14:textId="77777777" w:rsidTr="00DE0382">
        <w:tc>
          <w:tcPr>
            <w:tcW w:w="2290" w:type="pct"/>
            <w:tcMar>
              <w:top w:w="0" w:type="dxa"/>
              <w:bottom w:w="0" w:type="dxa"/>
            </w:tcMar>
          </w:tcPr>
          <w:p w14:paraId="7708C7D4" w14:textId="77777777" w:rsidR="00824412" w:rsidRPr="006E7BAE" w:rsidRDefault="00824412" w:rsidP="00375294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26E6F519" w14:textId="77777777" w:rsidR="00824412" w:rsidRPr="006E7BAE" w:rsidRDefault="00824412" w:rsidP="00375294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055574E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87D02" w14:paraId="26D2431A" w14:textId="77777777" w:rsidTr="00DE0382">
        <w:tc>
          <w:tcPr>
            <w:tcW w:w="2290" w:type="pct"/>
          </w:tcPr>
          <w:p w14:paraId="5FE14D2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5AD90B" w14:textId="77777777" w:rsidR="00824412" w:rsidRPr="006E7BAE" w:rsidRDefault="00824412" w:rsidP="00417FB7">
            <w:pPr>
              <w:jc w:val="center"/>
            </w:pPr>
          </w:p>
          <w:p w14:paraId="75455415" w14:textId="33ACB4A2" w:rsidR="00824412" w:rsidRDefault="008625E4" w:rsidP="00011960">
            <w:pPr>
              <w:jc w:val="both"/>
            </w:pPr>
            <w:r w:rsidRPr="002C6228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 xml:space="preserve">COA-22-CR-0137, </w:t>
            </w:r>
            <w:r w:rsidR="00265225" w:rsidRPr="00887D02">
              <w:rPr>
                <w:rStyle w:val="Hyperlink"/>
                <w:color w:val="000000" w:themeColor="text1"/>
                <w:u w:val="none"/>
              </w:rPr>
              <w:t>2023 ONCA 492</w:t>
            </w:r>
            <w:r w:rsidR="00824412" w:rsidRPr="00887D02">
              <w:rPr>
                <w:color w:val="000000" w:themeColor="text1"/>
              </w:rPr>
              <w:t xml:space="preserve">, </w:t>
            </w:r>
            <w:r w:rsidR="00824412" w:rsidRPr="006E7BAE">
              <w:t xml:space="preserve">dated </w:t>
            </w:r>
            <w:r w:rsidR="00824412">
              <w:t>July 21, 2023</w:t>
            </w:r>
            <w:r w:rsidR="00265225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7FB7A8B4" w14:textId="77777777" w:rsidR="003F6511" w:rsidRDefault="003F6511" w:rsidP="00011960">
            <w:pPr>
              <w:jc w:val="both"/>
            </w:pPr>
          </w:p>
          <w:p w14:paraId="43D003FE" w14:textId="77777777" w:rsidR="003F6511" w:rsidRPr="006E7BAE" w:rsidRDefault="003F6511" w:rsidP="00011960">
            <w:pPr>
              <w:jc w:val="both"/>
            </w:pPr>
          </w:p>
        </w:tc>
        <w:tc>
          <w:tcPr>
            <w:tcW w:w="378" w:type="pct"/>
          </w:tcPr>
          <w:p w14:paraId="1E35F1D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2" w:type="pct"/>
          </w:tcPr>
          <w:p w14:paraId="168B219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9473F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30FFCD" w14:textId="039A6839" w:rsidR="003F6511" w:rsidRPr="006E7BAE" w:rsidRDefault="008625E4" w:rsidP="008625E4">
            <w:pPr>
              <w:jc w:val="both"/>
              <w:rPr>
                <w:lang w:val="fr-CA"/>
              </w:rPr>
            </w:pPr>
            <w:r w:rsidRPr="00A211A0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6330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6330E">
              <w:rPr>
                <w:lang w:val="fr-CA"/>
              </w:rPr>
              <w:t xml:space="preserve">COA-22-CR-0137, </w:t>
            </w:r>
            <w:r w:rsidR="00265225" w:rsidRPr="00887D02">
              <w:rPr>
                <w:rStyle w:val="Hyperlink"/>
                <w:color w:val="000000" w:themeColor="text1"/>
                <w:u w:val="none"/>
                <w:lang w:val="fr-CA"/>
              </w:rPr>
              <w:t>2023 ONCA 492</w:t>
            </w:r>
            <w:r w:rsidR="00824412" w:rsidRPr="00887D02">
              <w:rPr>
                <w:color w:val="000000" w:themeColor="text1"/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6330E">
              <w:rPr>
                <w:lang w:val="fr-CA"/>
              </w:rPr>
              <w:t>21</w:t>
            </w:r>
            <w:r w:rsidR="00DE0382">
              <w:rPr>
                <w:lang w:val="fr-CA"/>
              </w:rPr>
              <w:t> </w:t>
            </w:r>
            <w:r w:rsidR="00824412" w:rsidRPr="00C6330E">
              <w:rPr>
                <w:lang w:val="fr-CA"/>
              </w:rPr>
              <w:t>juillet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64F7F0" w14:textId="77777777" w:rsidR="009F436C" w:rsidRPr="00D83B8C" w:rsidRDefault="009F436C" w:rsidP="00382FEC">
      <w:pPr>
        <w:rPr>
          <w:lang w:val="fr-CA"/>
        </w:rPr>
      </w:pPr>
    </w:p>
    <w:p w14:paraId="1B889492" w14:textId="77777777" w:rsidR="009F436C" w:rsidRPr="00D83B8C" w:rsidRDefault="009F436C" w:rsidP="00417FB7">
      <w:pPr>
        <w:jc w:val="center"/>
        <w:rPr>
          <w:lang w:val="fr-CA"/>
        </w:rPr>
      </w:pPr>
    </w:p>
    <w:p w14:paraId="61B86B8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02B0C6" w14:textId="77777777" w:rsidR="003A37CF" w:rsidRPr="00D83B8C" w:rsidRDefault="003A37CF" w:rsidP="00A52EC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52EC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4A3D7" w14:textId="77777777" w:rsidR="00983D48" w:rsidRDefault="00983D48">
      <w:r>
        <w:separator/>
      </w:r>
    </w:p>
  </w:endnote>
  <w:endnote w:type="continuationSeparator" w:id="0">
    <w:p w14:paraId="0DEE545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7C434" w14:textId="77777777" w:rsidR="00983D48" w:rsidRDefault="00983D48">
      <w:r>
        <w:separator/>
      </w:r>
    </w:p>
  </w:footnote>
  <w:footnote w:type="continuationSeparator" w:id="0">
    <w:p w14:paraId="74FF04B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A9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8A3E0F" w14:textId="77777777" w:rsidR="008F53F3" w:rsidRDefault="008F53F3" w:rsidP="008F53F3">
    <w:pPr>
      <w:rPr>
        <w:szCs w:val="24"/>
      </w:rPr>
    </w:pPr>
  </w:p>
  <w:p w14:paraId="277BA356" w14:textId="77777777" w:rsidR="008F53F3" w:rsidRDefault="008F53F3" w:rsidP="008F53F3">
    <w:pPr>
      <w:rPr>
        <w:szCs w:val="24"/>
      </w:rPr>
    </w:pPr>
  </w:p>
  <w:p w14:paraId="4D35E49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41115</w:t>
    </w:r>
    <w:r>
      <w:rPr>
        <w:szCs w:val="24"/>
      </w:rPr>
      <w:t>     </w:t>
    </w:r>
  </w:p>
  <w:p w14:paraId="278E961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858E09" w14:textId="77777777" w:rsidR="0073151A" w:rsidRDefault="0073151A" w:rsidP="0073151A"/>
      <w:p w14:paraId="07A6E177" w14:textId="77777777" w:rsidR="0073151A" w:rsidRPr="006E7BAE" w:rsidRDefault="0073151A" w:rsidP="0073151A"/>
      <w:p w14:paraId="28243ED1" w14:textId="77777777" w:rsidR="0073151A" w:rsidRPr="006E7BAE" w:rsidRDefault="0073151A" w:rsidP="0073151A"/>
      <w:p w14:paraId="118A8E54" w14:textId="77777777" w:rsidR="0073151A" w:rsidRPr="006E7BAE" w:rsidRDefault="0073151A" w:rsidP="0073151A"/>
      <w:p w14:paraId="0B82DB0D" w14:textId="77777777" w:rsidR="0073151A" w:rsidRDefault="0073151A" w:rsidP="0073151A"/>
      <w:p w14:paraId="361A2D7B" w14:textId="77777777" w:rsidR="0073151A" w:rsidRDefault="0073151A" w:rsidP="0073151A"/>
      <w:p w14:paraId="254FA486" w14:textId="77777777" w:rsidR="0073151A" w:rsidRDefault="0073151A" w:rsidP="0073151A"/>
      <w:p w14:paraId="7B675E2D" w14:textId="77777777" w:rsidR="0073151A" w:rsidRDefault="0073151A" w:rsidP="0073151A"/>
      <w:p w14:paraId="4794D8B6" w14:textId="77777777" w:rsidR="0073151A" w:rsidRDefault="0073151A" w:rsidP="0073151A"/>
      <w:p w14:paraId="344A9B67" w14:textId="77777777" w:rsidR="0073151A" w:rsidRPr="006E7BAE" w:rsidRDefault="0073151A" w:rsidP="0073151A"/>
      <w:p w14:paraId="2D389DBA" w14:textId="77777777" w:rsidR="00ED265D" w:rsidRPr="0073151A" w:rsidRDefault="00300B8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383B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5225"/>
    <w:rsid w:val="0027284C"/>
    <w:rsid w:val="002B5FA6"/>
    <w:rsid w:val="002C6423"/>
    <w:rsid w:val="002D2D44"/>
    <w:rsid w:val="00300B8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25E4"/>
    <w:rsid w:val="008763A3"/>
    <w:rsid w:val="008813BC"/>
    <w:rsid w:val="00887D02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2ECD"/>
    <w:rsid w:val="00AB4A38"/>
    <w:rsid w:val="00AB5E22"/>
    <w:rsid w:val="00AD196C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330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038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73C8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15568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62D7FCA-971C-473D-8D7D-EA67BF65F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1ABB6-AB49-45D7-88F8-72ABAE371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B272A-85EE-4C0C-B04C-C842D44FAE5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2024-06-03T19:06:00Z</dcterms:created>
  <dcterms:modified xsi:type="dcterms:W3CDTF">2024-06-03T19:06:00Z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