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ECF80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41122</w:t>
      </w:r>
      <w:r w:rsidR="0016666F" w:rsidRPr="006E7BAE">
        <w:t>     </w:t>
      </w:r>
    </w:p>
    <w:p w14:paraId="26CB4515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D2D1FB2" w14:textId="77777777" w:rsidTr="00C173B0">
        <w:tc>
          <w:tcPr>
            <w:tcW w:w="2269" w:type="pct"/>
          </w:tcPr>
          <w:p w14:paraId="5F25F977" w14:textId="77777777" w:rsidR="00417FB7" w:rsidRPr="006E7BAE" w:rsidRDefault="00543EDD" w:rsidP="008262A3">
            <w:r>
              <w:t xml:space="preserve">August </w:t>
            </w:r>
            <w:r w:rsidR="00DD6EAF">
              <w:t>29</w:t>
            </w:r>
            <w:r>
              <w:t>, 2024</w:t>
            </w:r>
          </w:p>
        </w:tc>
        <w:tc>
          <w:tcPr>
            <w:tcW w:w="381" w:type="pct"/>
          </w:tcPr>
          <w:p w14:paraId="4EE024F8" w14:textId="77777777" w:rsidR="00417FB7" w:rsidRPr="006E7BAE" w:rsidRDefault="00417FB7" w:rsidP="00382FEC"/>
        </w:tc>
        <w:tc>
          <w:tcPr>
            <w:tcW w:w="2350" w:type="pct"/>
          </w:tcPr>
          <w:p w14:paraId="07F716AA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DD6EAF">
              <w:t>29</w:t>
            </w:r>
            <w:r>
              <w:t xml:space="preserve"> août 2024</w:t>
            </w:r>
          </w:p>
        </w:tc>
      </w:tr>
      <w:tr w:rsidR="00E12A51" w:rsidRPr="006E7BAE" w14:paraId="57582FD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725C263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E9F17D2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861B48B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63DE8FE" w14:textId="77777777" w:rsidTr="00C173B0">
        <w:tc>
          <w:tcPr>
            <w:tcW w:w="2269" w:type="pct"/>
          </w:tcPr>
          <w:p w14:paraId="12EC4FC9" w14:textId="77777777" w:rsidR="00E340AF" w:rsidRPr="00E340AF" w:rsidRDefault="00E340AF"/>
          <w:p w14:paraId="04104931" w14:textId="77777777" w:rsidR="00210EF6" w:rsidRDefault="00C01119">
            <w:pPr>
              <w:pStyle w:val="SCCLsocPrefix"/>
            </w:pPr>
            <w:r>
              <w:t>BETWEEN:</w:t>
            </w:r>
          </w:p>
          <w:p w14:paraId="661F605F" w14:textId="77777777" w:rsidR="006718F9" w:rsidRPr="00886E5E" w:rsidRDefault="006718F9" w:rsidP="00267216"/>
          <w:p w14:paraId="7FD4A10F" w14:textId="09D7CFCF" w:rsidR="00210EF6" w:rsidRDefault="00C01119">
            <w:pPr>
              <w:pStyle w:val="SCCLsocParty"/>
            </w:pPr>
            <w:r>
              <w:t>Rustum Asaduzzaman</w:t>
            </w:r>
            <w:r w:rsidR="006718F9">
              <w:t xml:space="preserve"> and</w:t>
            </w:r>
            <w:r>
              <w:t xml:space="preserve"> Peter Michalakopoulos</w:t>
            </w:r>
            <w:r>
              <w:br/>
            </w:r>
          </w:p>
          <w:p w14:paraId="1B33A880" w14:textId="77777777" w:rsidR="00210EF6" w:rsidRPr="00267216" w:rsidRDefault="00C01119">
            <w:pPr>
              <w:pStyle w:val="SCCLsocPartyRole"/>
            </w:pPr>
            <w:r w:rsidRPr="00267216">
              <w:t>Applicants</w:t>
            </w:r>
            <w:r w:rsidRPr="00267216">
              <w:br/>
            </w:r>
          </w:p>
          <w:p w14:paraId="27D3E748" w14:textId="77777777" w:rsidR="00210EF6" w:rsidRPr="00267216" w:rsidRDefault="00C01119">
            <w:pPr>
              <w:pStyle w:val="SCCLsocVersus"/>
            </w:pPr>
            <w:r w:rsidRPr="00267216">
              <w:t>- and -</w:t>
            </w:r>
          </w:p>
          <w:p w14:paraId="075C7227" w14:textId="77777777" w:rsidR="00210EF6" w:rsidRPr="00267216" w:rsidRDefault="00210EF6"/>
          <w:p w14:paraId="0093F01A" w14:textId="53C11B10" w:rsidR="00210EF6" w:rsidRPr="00267216" w:rsidRDefault="00C01119">
            <w:pPr>
              <w:pStyle w:val="SCCLsocParty"/>
            </w:pPr>
            <w:r w:rsidRPr="00267216">
              <w:t>Yves-Antoine Audet</w:t>
            </w:r>
            <w:bookmarkStart w:id="0" w:name="_GoBack"/>
            <w:bookmarkEnd w:id="0"/>
            <w:r w:rsidRPr="00267216">
              <w:t>, Tessa Roy-</w:t>
            </w:r>
            <w:r w:rsidR="00D44025" w:rsidRPr="00267216">
              <w:t>Hébert</w:t>
            </w:r>
            <w:r w:rsidRPr="00267216">
              <w:t xml:space="preserve">, Panagiotis Karavoulias, Karavoulias </w:t>
            </w:r>
            <w:r w:rsidR="006718F9" w:rsidRPr="00267216">
              <w:t>Attorneys</w:t>
            </w:r>
            <w:r w:rsidRPr="00267216">
              <w:t>, Felipe Morales, Philippe-Antoine Larochelle</w:t>
            </w:r>
            <w:r w:rsidR="006718F9" w:rsidRPr="00267216">
              <w:t xml:space="preserve"> and</w:t>
            </w:r>
            <w:r w:rsidRPr="00267216">
              <w:t xml:space="preserve"> </w:t>
            </w:r>
            <w:r w:rsidR="006718F9" w:rsidRPr="00267216">
              <w:t>Professional Liability Insurance for Quebec Lawyers</w:t>
            </w:r>
          </w:p>
          <w:p w14:paraId="5697B7EA" w14:textId="77777777" w:rsidR="006718F9" w:rsidRPr="00267216" w:rsidRDefault="006718F9" w:rsidP="00267216"/>
          <w:p w14:paraId="15776447" w14:textId="77777777" w:rsidR="006718F9" w:rsidRPr="00267216" w:rsidRDefault="006718F9" w:rsidP="00267216"/>
          <w:p w14:paraId="466ED62F" w14:textId="77777777" w:rsidR="00210EF6" w:rsidRDefault="00C01119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251BA085" w14:textId="77777777" w:rsidR="00824412" w:rsidRPr="006E7BAE" w:rsidRDefault="00824412" w:rsidP="00375294"/>
        </w:tc>
        <w:tc>
          <w:tcPr>
            <w:tcW w:w="2350" w:type="pct"/>
          </w:tcPr>
          <w:p w14:paraId="0EBD7C5B" w14:textId="77777777" w:rsidR="00E340AF" w:rsidRPr="00E340AF" w:rsidRDefault="00E340AF">
            <w:pPr>
              <w:rPr>
                <w:lang w:val="fr-CA"/>
              </w:rPr>
            </w:pPr>
          </w:p>
          <w:p w14:paraId="374EC850" w14:textId="77777777" w:rsidR="00210EF6" w:rsidRDefault="00C01119">
            <w:pPr>
              <w:pStyle w:val="SCCLsocPrefix"/>
              <w:rPr>
                <w:lang w:val="fr-CA"/>
              </w:rPr>
            </w:pPr>
            <w:r w:rsidRPr="00DD6EAF">
              <w:rPr>
                <w:lang w:val="fr-CA"/>
              </w:rPr>
              <w:t>ENTRE :</w:t>
            </w:r>
          </w:p>
          <w:p w14:paraId="01BA60C7" w14:textId="77777777" w:rsidR="006718F9" w:rsidRPr="00886E5E" w:rsidRDefault="006718F9" w:rsidP="00267216">
            <w:pPr>
              <w:rPr>
                <w:lang w:val="fr-CA"/>
              </w:rPr>
            </w:pPr>
          </w:p>
          <w:p w14:paraId="64677CF4" w14:textId="3238073C" w:rsidR="00210EF6" w:rsidRPr="00DD6EAF" w:rsidRDefault="00C01119">
            <w:pPr>
              <w:pStyle w:val="SCCLsocParty"/>
              <w:rPr>
                <w:lang w:val="fr-CA"/>
              </w:rPr>
            </w:pPr>
            <w:r w:rsidRPr="00DD6EAF">
              <w:rPr>
                <w:lang w:val="fr-CA"/>
              </w:rPr>
              <w:t>Rustum Asaduzzaman</w:t>
            </w:r>
            <w:r w:rsidR="006718F9">
              <w:rPr>
                <w:lang w:val="fr-CA"/>
              </w:rPr>
              <w:t xml:space="preserve"> et</w:t>
            </w:r>
            <w:r w:rsidRPr="00DD6EAF">
              <w:rPr>
                <w:lang w:val="fr-CA"/>
              </w:rPr>
              <w:t xml:space="preserve"> Peter Michalakopoulos</w:t>
            </w:r>
            <w:r w:rsidRPr="00DD6EAF">
              <w:rPr>
                <w:lang w:val="fr-CA"/>
              </w:rPr>
              <w:br/>
            </w:r>
          </w:p>
          <w:p w14:paraId="713178F3" w14:textId="77777777" w:rsidR="00210EF6" w:rsidRPr="00DD6EAF" w:rsidRDefault="00C01119">
            <w:pPr>
              <w:pStyle w:val="SCCLsocPartyRole"/>
              <w:rPr>
                <w:lang w:val="fr-CA"/>
              </w:rPr>
            </w:pPr>
            <w:r w:rsidRPr="00DD6EAF">
              <w:rPr>
                <w:lang w:val="fr-CA"/>
              </w:rPr>
              <w:t>Demandeurs</w:t>
            </w:r>
            <w:r w:rsidRPr="00DD6EAF">
              <w:rPr>
                <w:lang w:val="fr-CA"/>
              </w:rPr>
              <w:br/>
            </w:r>
          </w:p>
          <w:p w14:paraId="11F9FA17" w14:textId="77777777" w:rsidR="00210EF6" w:rsidRPr="00DD6EAF" w:rsidRDefault="00C01119">
            <w:pPr>
              <w:pStyle w:val="SCCLsocVersus"/>
              <w:rPr>
                <w:lang w:val="fr-CA"/>
              </w:rPr>
            </w:pPr>
            <w:r w:rsidRPr="00DD6EAF">
              <w:rPr>
                <w:lang w:val="fr-CA"/>
              </w:rPr>
              <w:t>- et -</w:t>
            </w:r>
          </w:p>
          <w:p w14:paraId="3DFC08EA" w14:textId="77777777" w:rsidR="00210EF6" w:rsidRPr="00DD6EAF" w:rsidRDefault="00210EF6">
            <w:pPr>
              <w:rPr>
                <w:lang w:val="fr-CA"/>
              </w:rPr>
            </w:pPr>
          </w:p>
          <w:p w14:paraId="08EEDA91" w14:textId="330765D2" w:rsidR="00210EF6" w:rsidRPr="00DD6EAF" w:rsidRDefault="00C01119">
            <w:pPr>
              <w:pStyle w:val="SCCLsocParty"/>
              <w:rPr>
                <w:lang w:val="fr-CA"/>
              </w:rPr>
            </w:pPr>
            <w:r w:rsidRPr="00DD6EAF">
              <w:rPr>
                <w:lang w:val="fr-CA"/>
              </w:rPr>
              <w:t>Yves-Antoine Audet, Tessa Roy-</w:t>
            </w:r>
            <w:r w:rsidR="00D44025" w:rsidRPr="00DD6EAF">
              <w:rPr>
                <w:lang w:val="fr-CA"/>
              </w:rPr>
              <w:t>H</w:t>
            </w:r>
            <w:r w:rsidR="00D44025">
              <w:rPr>
                <w:lang w:val="fr-CA"/>
              </w:rPr>
              <w:t>é</w:t>
            </w:r>
            <w:r w:rsidR="00D44025" w:rsidRPr="00DD6EAF">
              <w:rPr>
                <w:lang w:val="fr-CA"/>
              </w:rPr>
              <w:t>bert</w:t>
            </w:r>
            <w:r w:rsidRPr="00DD6EAF">
              <w:rPr>
                <w:lang w:val="fr-CA"/>
              </w:rPr>
              <w:t>, Panagiotis Karavoulias, Karavoulias Avocats, Felipe Morales, Philippe-Antoine Larochelle</w:t>
            </w:r>
            <w:r w:rsidR="006718F9">
              <w:rPr>
                <w:lang w:val="fr-CA"/>
              </w:rPr>
              <w:t xml:space="preserve"> et</w:t>
            </w:r>
            <w:r w:rsidRPr="00DD6EAF">
              <w:rPr>
                <w:lang w:val="fr-CA"/>
              </w:rPr>
              <w:t xml:space="preserve"> Fonds d</w:t>
            </w:r>
            <w:r w:rsidR="00DD6EAF">
              <w:rPr>
                <w:lang w:val="fr-CA"/>
              </w:rPr>
              <w:t>’</w:t>
            </w:r>
            <w:r w:rsidRPr="00DD6EAF">
              <w:rPr>
                <w:lang w:val="fr-CA"/>
              </w:rPr>
              <w:t>assurance responsabilité professionnelle du Barreau du Qu</w:t>
            </w:r>
            <w:r>
              <w:rPr>
                <w:lang w:val="fr-CA"/>
              </w:rPr>
              <w:t>é</w:t>
            </w:r>
            <w:r w:rsidRPr="00DD6EAF">
              <w:rPr>
                <w:lang w:val="fr-CA"/>
              </w:rPr>
              <w:t>bec</w:t>
            </w:r>
            <w:r w:rsidRPr="00DD6EAF">
              <w:rPr>
                <w:lang w:val="fr-CA"/>
              </w:rPr>
              <w:br/>
            </w:r>
          </w:p>
          <w:p w14:paraId="4E43B32F" w14:textId="77777777" w:rsidR="00210EF6" w:rsidRDefault="00C01119">
            <w:pPr>
              <w:pStyle w:val="SCCLsocPartyRole"/>
            </w:pPr>
            <w:r>
              <w:t>Intimés</w:t>
            </w:r>
          </w:p>
        </w:tc>
      </w:tr>
      <w:tr w:rsidR="00824412" w:rsidRPr="006E7BAE" w14:paraId="128C3F5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02026B9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C7A67DD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EEF6F44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267216" w14:paraId="61C83C87" w14:textId="77777777" w:rsidTr="00C173B0">
        <w:tc>
          <w:tcPr>
            <w:tcW w:w="2269" w:type="pct"/>
          </w:tcPr>
          <w:p w14:paraId="2967034A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FF5EC12" w14:textId="77777777" w:rsidR="00824412" w:rsidRPr="006E7BAE" w:rsidRDefault="00824412" w:rsidP="00417FB7">
            <w:pPr>
              <w:jc w:val="center"/>
            </w:pPr>
          </w:p>
          <w:p w14:paraId="486E659A" w14:textId="3DD9F8CA" w:rsidR="00824412" w:rsidRDefault="00DD6EAF" w:rsidP="00011960">
            <w:pPr>
              <w:jc w:val="both"/>
            </w:pPr>
            <w:r>
              <w:t xml:space="preserve">The motion for an extension of time to serve and file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of Quebec (Montréal)</w:t>
            </w:r>
            <w:r w:rsidR="00824412" w:rsidRPr="006E7BAE">
              <w:t xml:space="preserve">, Number </w:t>
            </w:r>
            <w:r w:rsidR="00824412">
              <w:t xml:space="preserve">500-09-030744-239, </w:t>
            </w:r>
            <w:r w:rsidR="006718F9" w:rsidRPr="00267216">
              <w:rPr>
                <w:rStyle w:val="Hyperlink"/>
                <w:color w:val="auto"/>
                <w:u w:val="none"/>
              </w:rPr>
              <w:t>2023 QCCA 1501</w:t>
            </w:r>
            <w:r w:rsidR="00824412" w:rsidRPr="006E7BAE">
              <w:t xml:space="preserve">, dated </w:t>
            </w:r>
            <w:r w:rsidR="00824412">
              <w:t>November 24, 2023</w:t>
            </w:r>
            <w:r w:rsidR="006718F9">
              <w:t>,</w:t>
            </w:r>
            <w:r w:rsidR="00824412" w:rsidRPr="006E7BAE">
              <w:t xml:space="preserve"> is </w:t>
            </w:r>
            <w:r>
              <w:t>dismissed.</w:t>
            </w:r>
          </w:p>
          <w:p w14:paraId="4E3C908C" w14:textId="77777777" w:rsidR="003F6511" w:rsidRDefault="003F6511" w:rsidP="00011960">
            <w:pPr>
              <w:jc w:val="both"/>
            </w:pPr>
          </w:p>
          <w:p w14:paraId="22E0FCDC" w14:textId="77777777" w:rsidR="00E340AF" w:rsidRDefault="00E340AF" w:rsidP="00011960">
            <w:pPr>
              <w:jc w:val="both"/>
            </w:pPr>
          </w:p>
          <w:p w14:paraId="2C51590B" w14:textId="77777777" w:rsidR="00E340AF" w:rsidRDefault="00E340AF" w:rsidP="00011960">
            <w:pPr>
              <w:jc w:val="both"/>
            </w:pPr>
          </w:p>
          <w:p w14:paraId="47D1BBA9" w14:textId="77777777" w:rsidR="00E340AF" w:rsidRDefault="00E340AF" w:rsidP="00011960">
            <w:pPr>
              <w:jc w:val="both"/>
            </w:pPr>
          </w:p>
          <w:p w14:paraId="541912DE" w14:textId="77777777" w:rsidR="00E340AF" w:rsidRDefault="00E340AF" w:rsidP="00011960">
            <w:pPr>
              <w:jc w:val="both"/>
            </w:pPr>
          </w:p>
          <w:p w14:paraId="60F5ABA2" w14:textId="77777777" w:rsidR="00E340AF" w:rsidRDefault="00E340AF" w:rsidP="00011960">
            <w:pPr>
              <w:jc w:val="both"/>
            </w:pPr>
          </w:p>
          <w:p w14:paraId="04822F44" w14:textId="2779EA91" w:rsidR="003F6511" w:rsidRPr="00267216" w:rsidRDefault="00E340AF" w:rsidP="00011960">
            <w:pPr>
              <w:jc w:val="both"/>
              <w:rPr>
                <w:lang w:val="en-US"/>
              </w:rPr>
            </w:pPr>
            <w:r w:rsidRPr="00267216">
              <w:rPr>
                <w:lang w:val="en-US"/>
              </w:rPr>
              <w:t>Kasirer J. took no pa</w:t>
            </w:r>
            <w:r>
              <w:rPr>
                <w:lang w:val="en-US"/>
              </w:rPr>
              <w:t>rt in the judgment.</w:t>
            </w:r>
          </w:p>
        </w:tc>
        <w:tc>
          <w:tcPr>
            <w:tcW w:w="381" w:type="pct"/>
          </w:tcPr>
          <w:p w14:paraId="115C0678" w14:textId="77777777" w:rsidR="00824412" w:rsidRPr="00267216" w:rsidRDefault="00824412" w:rsidP="00417FB7">
            <w:pPr>
              <w:jc w:val="center"/>
              <w:rPr>
                <w:lang w:val="en-US"/>
              </w:rPr>
            </w:pPr>
          </w:p>
        </w:tc>
        <w:tc>
          <w:tcPr>
            <w:tcW w:w="2350" w:type="pct"/>
          </w:tcPr>
          <w:p w14:paraId="1270D70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DF4F7B1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B288210" w14:textId="62FA49DF" w:rsidR="00E340AF" w:rsidRDefault="00DD6EAF" w:rsidP="00886E5E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La requête en prorogation du délai </w:t>
            </w:r>
            <w:r w:rsidR="006718F9">
              <w:rPr>
                <w:lang w:val="fr-CA"/>
              </w:rPr>
              <w:t>de signification et de dépôt de</w:t>
            </w:r>
            <w:r>
              <w:rPr>
                <w:lang w:val="fr-CA"/>
              </w:rPr>
              <w:t xml:space="preserve"> la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DD6EAF">
              <w:rPr>
                <w:lang w:val="fr-CA"/>
              </w:rPr>
              <w:t>Cour d’appel du Québec (Montréal)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DD6EAF">
              <w:rPr>
                <w:lang w:val="fr-CA"/>
              </w:rPr>
              <w:t xml:space="preserve">500-09-030744-239, </w:t>
            </w:r>
            <w:r w:rsidR="006718F9" w:rsidRPr="00267216">
              <w:rPr>
                <w:rStyle w:val="Hyperlink"/>
                <w:color w:val="auto"/>
                <w:u w:val="none"/>
                <w:lang w:val="fr-CA"/>
              </w:rPr>
              <w:t>2023 QCCA 1501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DD6EAF">
              <w:rPr>
                <w:lang w:val="fr-CA"/>
              </w:rPr>
              <w:t>24 novembre 2023</w:t>
            </w:r>
            <w:r w:rsidR="00824412" w:rsidRPr="006E7BAE">
              <w:rPr>
                <w:lang w:val="fr-CA"/>
              </w:rPr>
              <w:t>, est</w:t>
            </w:r>
            <w:r>
              <w:rPr>
                <w:lang w:val="fr-CA"/>
              </w:rPr>
              <w:t xml:space="preserve"> rejetée</w:t>
            </w:r>
            <w:r w:rsidR="00824412" w:rsidRPr="006E7BAE">
              <w:rPr>
                <w:lang w:val="fr-CA"/>
              </w:rPr>
              <w:t>.</w:t>
            </w:r>
          </w:p>
          <w:p w14:paraId="5737425D" w14:textId="77777777" w:rsidR="00E340AF" w:rsidRDefault="00E340AF" w:rsidP="00886E5E">
            <w:pPr>
              <w:jc w:val="both"/>
              <w:rPr>
                <w:lang w:val="fr-CA"/>
              </w:rPr>
            </w:pPr>
          </w:p>
          <w:p w14:paraId="11EA7F6E" w14:textId="77777777" w:rsidR="00E340AF" w:rsidRDefault="00E340AF" w:rsidP="00886E5E">
            <w:pPr>
              <w:jc w:val="both"/>
              <w:rPr>
                <w:lang w:val="fr-CA"/>
              </w:rPr>
            </w:pPr>
          </w:p>
          <w:p w14:paraId="6C27568E" w14:textId="77777777" w:rsidR="00E340AF" w:rsidRDefault="00E340AF" w:rsidP="00886E5E">
            <w:pPr>
              <w:jc w:val="both"/>
              <w:rPr>
                <w:lang w:val="fr-CA"/>
              </w:rPr>
            </w:pPr>
          </w:p>
          <w:p w14:paraId="3C307D3F" w14:textId="77777777" w:rsidR="00E340AF" w:rsidRDefault="00E340AF" w:rsidP="00886E5E">
            <w:pPr>
              <w:jc w:val="both"/>
              <w:rPr>
                <w:lang w:val="fr-CA"/>
              </w:rPr>
            </w:pPr>
          </w:p>
          <w:p w14:paraId="2B41B6E0" w14:textId="77777777" w:rsidR="00E340AF" w:rsidRDefault="00E340AF" w:rsidP="00886E5E">
            <w:pPr>
              <w:jc w:val="both"/>
              <w:rPr>
                <w:lang w:val="fr-CA"/>
              </w:rPr>
            </w:pPr>
          </w:p>
          <w:p w14:paraId="104E3BE6" w14:textId="77777777" w:rsidR="00E340AF" w:rsidRDefault="00E340AF" w:rsidP="00886E5E">
            <w:pPr>
              <w:jc w:val="both"/>
              <w:rPr>
                <w:lang w:val="fr-CA"/>
              </w:rPr>
            </w:pPr>
          </w:p>
          <w:p w14:paraId="09CEE8DE" w14:textId="0EACAF4F" w:rsidR="003F6511" w:rsidRPr="006E7BAE" w:rsidRDefault="00E340AF" w:rsidP="00886E5E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Le juge Kasirer n’a pas participé au jugement.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9C6E381" w14:textId="77777777" w:rsidR="009F436C" w:rsidRDefault="009F436C" w:rsidP="00267216">
      <w:pPr>
        <w:jc w:val="center"/>
        <w:rPr>
          <w:lang w:val="fr-CA"/>
        </w:rPr>
      </w:pPr>
    </w:p>
    <w:p w14:paraId="3E12AB3F" w14:textId="77777777" w:rsidR="00DD6EAF" w:rsidRDefault="00DD6EAF" w:rsidP="00267216">
      <w:pPr>
        <w:jc w:val="center"/>
        <w:rPr>
          <w:lang w:val="fr-CA"/>
        </w:rPr>
      </w:pPr>
    </w:p>
    <w:p w14:paraId="131172D0" w14:textId="77777777" w:rsidR="00E340AF" w:rsidRDefault="00E340AF" w:rsidP="00267216">
      <w:pPr>
        <w:jc w:val="center"/>
        <w:rPr>
          <w:lang w:val="fr-CA"/>
        </w:rPr>
      </w:pPr>
    </w:p>
    <w:p w14:paraId="1F6E5B53" w14:textId="77777777" w:rsidR="00E340AF" w:rsidRDefault="00E340AF" w:rsidP="00267216">
      <w:pPr>
        <w:jc w:val="center"/>
        <w:rPr>
          <w:lang w:val="fr-CA"/>
        </w:rPr>
      </w:pPr>
    </w:p>
    <w:p w14:paraId="67B236BF" w14:textId="77777777" w:rsidR="00E340AF" w:rsidRPr="00D83B8C" w:rsidRDefault="00E340AF" w:rsidP="00267216">
      <w:pPr>
        <w:jc w:val="center"/>
        <w:rPr>
          <w:lang w:val="fr-CA"/>
        </w:rPr>
      </w:pPr>
    </w:p>
    <w:p w14:paraId="6D40727D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5C75271C" w14:textId="77777777" w:rsidR="009F436C" w:rsidRPr="00D83B8C" w:rsidRDefault="003A37CF" w:rsidP="00DD6EAF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267216">
      <w:headerReference w:type="default" r:id="rId9"/>
      <w:headerReference w:type="first" r:id="rId10"/>
      <w:type w:val="continuous"/>
      <w:pgSz w:w="12240" w:h="15840"/>
      <w:pgMar w:top="720" w:right="1440" w:bottom="720" w:left="1440" w:header="1417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FA299" w14:textId="77777777" w:rsidR="00983D48" w:rsidRDefault="00983D48">
      <w:r>
        <w:separator/>
      </w:r>
    </w:p>
  </w:endnote>
  <w:endnote w:type="continuationSeparator" w:id="0">
    <w:p w14:paraId="7EFDA9D0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25AC3" w14:textId="77777777" w:rsidR="00983D48" w:rsidRDefault="00983D48">
      <w:r>
        <w:separator/>
      </w:r>
    </w:p>
  </w:footnote>
  <w:footnote w:type="continuationSeparator" w:id="0">
    <w:p w14:paraId="01D099F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A23D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E75BF2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67D4D9D" w14:textId="77777777" w:rsidR="008F53F3" w:rsidRDefault="008F53F3" w:rsidP="008F53F3">
    <w:pPr>
      <w:rPr>
        <w:szCs w:val="24"/>
      </w:rPr>
    </w:pPr>
  </w:p>
  <w:p w14:paraId="00175276" w14:textId="77777777" w:rsidR="008F53F3" w:rsidRDefault="008F53F3" w:rsidP="008F53F3">
    <w:pPr>
      <w:rPr>
        <w:szCs w:val="24"/>
      </w:rPr>
    </w:pPr>
  </w:p>
  <w:p w14:paraId="19C324DA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41122</w:t>
    </w:r>
    <w:r>
      <w:rPr>
        <w:szCs w:val="24"/>
      </w:rPr>
      <w:t>     </w:t>
    </w:r>
  </w:p>
  <w:p w14:paraId="6E698A9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666659B" w14:textId="77777777" w:rsidR="0073151A" w:rsidRDefault="0073151A" w:rsidP="0073151A"/>
      <w:p w14:paraId="1154B3FE" w14:textId="77777777" w:rsidR="0073151A" w:rsidRPr="006E7BAE" w:rsidRDefault="0073151A" w:rsidP="0073151A"/>
      <w:p w14:paraId="7989D217" w14:textId="77777777" w:rsidR="0073151A" w:rsidRPr="006E7BAE" w:rsidRDefault="0073151A" w:rsidP="0073151A"/>
      <w:p w14:paraId="374DACC0" w14:textId="77777777" w:rsidR="0073151A" w:rsidRPr="006E7BAE" w:rsidRDefault="0073151A" w:rsidP="0073151A"/>
      <w:p w14:paraId="39E906E9" w14:textId="77777777" w:rsidR="0073151A" w:rsidRDefault="0073151A" w:rsidP="0073151A"/>
      <w:p w14:paraId="3BBAE539" w14:textId="77777777" w:rsidR="0073151A" w:rsidRDefault="0073151A" w:rsidP="0073151A"/>
      <w:p w14:paraId="0BF8879D" w14:textId="77777777" w:rsidR="0073151A" w:rsidRDefault="0073151A" w:rsidP="0073151A"/>
      <w:p w14:paraId="58774596" w14:textId="77777777" w:rsidR="0073151A" w:rsidRDefault="0073151A" w:rsidP="0073151A"/>
      <w:p w14:paraId="72B56421" w14:textId="77777777" w:rsidR="0073151A" w:rsidRDefault="0073151A" w:rsidP="0073151A"/>
      <w:p w14:paraId="33CF419F" w14:textId="77777777" w:rsidR="0073151A" w:rsidRPr="006E7BAE" w:rsidRDefault="0073151A" w:rsidP="0073151A"/>
      <w:p w14:paraId="31153F83" w14:textId="77777777" w:rsidR="00ED265D" w:rsidRPr="0073151A" w:rsidRDefault="00E75BF2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0EF6"/>
    <w:rsid w:val="00212BA0"/>
    <w:rsid w:val="002523DE"/>
    <w:rsid w:val="002568D3"/>
    <w:rsid w:val="00267216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718F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86E5E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01119"/>
    <w:rsid w:val="00C1285B"/>
    <w:rsid w:val="00C173B0"/>
    <w:rsid w:val="00C17F71"/>
    <w:rsid w:val="00C2612E"/>
    <w:rsid w:val="00CB2B73"/>
    <w:rsid w:val="00CE249F"/>
    <w:rsid w:val="00CF17D0"/>
    <w:rsid w:val="00D42339"/>
    <w:rsid w:val="00D44025"/>
    <w:rsid w:val="00D61AC2"/>
    <w:rsid w:val="00D83B8C"/>
    <w:rsid w:val="00DA4281"/>
    <w:rsid w:val="00DB1ADC"/>
    <w:rsid w:val="00DD4332"/>
    <w:rsid w:val="00DD6EAF"/>
    <w:rsid w:val="00E12A51"/>
    <w:rsid w:val="00E340AF"/>
    <w:rsid w:val="00E736B9"/>
    <w:rsid w:val="00E75BF2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395B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D6BD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The Chief Justice, O'Bonsawin, Moreau</AuthorContributor>
    <FolderNameEn xmlns="40ae4924-d04e-473c-aafa-3657aad971d6">Leave Application - Judgment on Leave Application</FolderNameEn>
    <Case xmlns="40ae4924-d04e-473c-aafa-3657aad971d6">15576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D0D04AB4-E019-4B89-8202-49E15E6C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912FFE-5BBF-4113-A141-96CB73582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45632-A0E6-4EB2-B0AA-762D24A0FB83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2024-08-26T18:19:00Z</dcterms:created>
  <dcterms:modified xsi:type="dcterms:W3CDTF">2024-08-26T18:20:00Z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