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E6C42" w14:textId="77777777"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41178</w:t>
      </w:r>
      <w:r w:rsidR="00E81C0B" w:rsidRPr="001E26DB">
        <w:t>     </w:t>
      </w:r>
    </w:p>
    <w:p w14:paraId="166C11CC" w14:textId="77777777" w:rsidR="009F436C" w:rsidRPr="001E26DB" w:rsidRDefault="009F436C" w:rsidP="00382FEC"/>
    <w:p w14:paraId="4AF36F37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0"/>
        <w:gridCol w:w="631"/>
        <w:gridCol w:w="4319"/>
      </w:tblGrid>
      <w:tr w:rsidR="00417FB7" w:rsidRPr="0062554E" w14:paraId="47A959A1" w14:textId="77777777" w:rsidTr="006D219C">
        <w:tc>
          <w:tcPr>
            <w:tcW w:w="2356" w:type="pct"/>
          </w:tcPr>
          <w:p w14:paraId="77FE5BFB" w14:textId="77777777" w:rsidR="00417FB7" w:rsidRPr="001E26DB" w:rsidRDefault="0062554E" w:rsidP="008262A3">
            <w:r>
              <w:t xml:space="preserve">Le </w:t>
            </w:r>
            <w:r w:rsidR="00960EC9">
              <w:t>29</w:t>
            </w:r>
            <w:r>
              <w:t xml:space="preserve"> août 2024</w:t>
            </w:r>
          </w:p>
        </w:tc>
        <w:tc>
          <w:tcPr>
            <w:tcW w:w="337" w:type="pct"/>
          </w:tcPr>
          <w:p w14:paraId="741BA591" w14:textId="77777777" w:rsidR="00417FB7" w:rsidRPr="001E26DB" w:rsidRDefault="00417FB7" w:rsidP="00382FEC"/>
        </w:tc>
        <w:tc>
          <w:tcPr>
            <w:tcW w:w="2308" w:type="pct"/>
          </w:tcPr>
          <w:p w14:paraId="63AB8F67" w14:textId="77777777" w:rsidR="00417FB7" w:rsidRPr="001E26DB" w:rsidRDefault="0062554E" w:rsidP="0027081E">
            <w:pPr>
              <w:rPr>
                <w:lang w:val="en-CA"/>
              </w:rPr>
            </w:pPr>
            <w:r>
              <w:t xml:space="preserve">August </w:t>
            </w:r>
            <w:r w:rsidR="00960EC9">
              <w:t>29</w:t>
            </w:r>
            <w:r>
              <w:t>, 2024</w:t>
            </w:r>
          </w:p>
        </w:tc>
      </w:tr>
      <w:tr w:rsidR="00C2612E" w:rsidRPr="0062554E" w14:paraId="3846D73A" w14:textId="77777777" w:rsidTr="006D219C">
        <w:tc>
          <w:tcPr>
            <w:tcW w:w="2356" w:type="pct"/>
            <w:tcMar>
              <w:top w:w="0" w:type="dxa"/>
              <w:bottom w:w="0" w:type="dxa"/>
            </w:tcMar>
          </w:tcPr>
          <w:p w14:paraId="46E04EF4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37" w:type="pct"/>
            <w:tcMar>
              <w:top w:w="0" w:type="dxa"/>
              <w:bottom w:w="0" w:type="dxa"/>
            </w:tcMar>
          </w:tcPr>
          <w:p w14:paraId="2641BBD6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42CFC860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1E6E7C9F" w14:textId="77777777" w:rsidTr="006D219C">
        <w:tc>
          <w:tcPr>
            <w:tcW w:w="2356" w:type="pct"/>
          </w:tcPr>
          <w:p w14:paraId="10BBA96F" w14:textId="77777777" w:rsidR="007C529F" w:rsidRDefault="007C529F"/>
          <w:p w14:paraId="0A5FC73E" w14:textId="77777777" w:rsidR="007C529F" w:rsidRDefault="00960EC9">
            <w:pPr>
              <w:pStyle w:val="SCCLsocPrefix"/>
            </w:pPr>
            <w:r>
              <w:t>ENTRE :</w:t>
            </w:r>
          </w:p>
          <w:p w14:paraId="30624E83" w14:textId="77777777" w:rsidR="00C11C8A" w:rsidRPr="00C11C8A" w:rsidRDefault="00C11C8A" w:rsidP="006D219C"/>
          <w:p w14:paraId="176B46AE" w14:textId="77777777" w:rsidR="007C529F" w:rsidRDefault="00960EC9">
            <w:pPr>
              <w:pStyle w:val="SCCLsocParty"/>
            </w:pPr>
            <w:r>
              <w:t>N.N.</w:t>
            </w:r>
            <w:r>
              <w:br/>
            </w:r>
          </w:p>
          <w:p w14:paraId="09833AAF" w14:textId="77777777" w:rsidR="007C529F" w:rsidRDefault="00960EC9">
            <w:pPr>
              <w:pStyle w:val="SCCLsocPartyRole"/>
            </w:pPr>
            <w:r>
              <w:t>Demandeur</w:t>
            </w:r>
            <w:r>
              <w:br/>
            </w:r>
          </w:p>
          <w:p w14:paraId="0A6F0B44" w14:textId="77777777" w:rsidR="007C529F" w:rsidRDefault="00960EC9">
            <w:pPr>
              <w:pStyle w:val="SCCLsocVersus"/>
            </w:pPr>
            <w:r>
              <w:t>- et -</w:t>
            </w:r>
          </w:p>
          <w:p w14:paraId="610FF250" w14:textId="77777777" w:rsidR="007C529F" w:rsidRDefault="007C529F"/>
          <w:p w14:paraId="3BCFD342" w14:textId="77777777" w:rsidR="007C529F" w:rsidRDefault="00960EC9">
            <w:pPr>
              <w:pStyle w:val="SCCLsocParty"/>
            </w:pPr>
            <w:r>
              <w:t>K.L.</w:t>
            </w:r>
            <w:r>
              <w:br/>
            </w:r>
          </w:p>
          <w:p w14:paraId="2EE86FE8" w14:textId="77777777" w:rsidR="007C529F" w:rsidRDefault="00960EC9">
            <w:pPr>
              <w:pStyle w:val="SCCLsocPartyRole"/>
            </w:pPr>
            <w:r>
              <w:t>Intimée</w:t>
            </w:r>
          </w:p>
        </w:tc>
        <w:tc>
          <w:tcPr>
            <w:tcW w:w="337" w:type="pct"/>
          </w:tcPr>
          <w:p w14:paraId="2619E476" w14:textId="77777777" w:rsidR="00824412" w:rsidRPr="00960EC9" w:rsidRDefault="00824412" w:rsidP="00375294"/>
        </w:tc>
        <w:tc>
          <w:tcPr>
            <w:tcW w:w="2308" w:type="pct"/>
          </w:tcPr>
          <w:p w14:paraId="4A5E39CA" w14:textId="77777777" w:rsidR="007C529F" w:rsidRPr="006D219C" w:rsidRDefault="007C529F">
            <w:pPr>
              <w:rPr>
                <w:lang w:val="en-CA"/>
              </w:rPr>
            </w:pPr>
          </w:p>
          <w:p w14:paraId="1BDBD9B2" w14:textId="77777777" w:rsidR="007C529F" w:rsidRPr="006D219C" w:rsidRDefault="00960EC9">
            <w:pPr>
              <w:pStyle w:val="SCCLsocPrefix"/>
              <w:rPr>
                <w:lang w:val="en-CA"/>
              </w:rPr>
            </w:pPr>
            <w:r w:rsidRPr="00FE7F09">
              <w:rPr>
                <w:lang w:val="en-CA"/>
              </w:rPr>
              <w:t>BETWEEN:</w:t>
            </w:r>
          </w:p>
          <w:p w14:paraId="466AB82E" w14:textId="77777777" w:rsidR="00C11C8A" w:rsidRPr="00FE7F09" w:rsidRDefault="00C11C8A" w:rsidP="006D219C">
            <w:pPr>
              <w:rPr>
                <w:lang w:val="en-CA"/>
              </w:rPr>
            </w:pPr>
          </w:p>
          <w:p w14:paraId="5C3B36F0" w14:textId="77777777" w:rsidR="007C529F" w:rsidRPr="00FE7F09" w:rsidRDefault="00960EC9">
            <w:pPr>
              <w:pStyle w:val="SCCLsocParty"/>
              <w:rPr>
                <w:lang w:val="en-CA"/>
              </w:rPr>
            </w:pPr>
            <w:r w:rsidRPr="00FE7F09">
              <w:rPr>
                <w:lang w:val="en-CA"/>
              </w:rPr>
              <w:t>N.N.</w:t>
            </w:r>
            <w:r w:rsidRPr="00FE7F09">
              <w:rPr>
                <w:lang w:val="en-CA"/>
              </w:rPr>
              <w:br/>
            </w:r>
          </w:p>
          <w:p w14:paraId="66B774A5" w14:textId="77777777" w:rsidR="007C529F" w:rsidRPr="00FE7F09" w:rsidRDefault="00960EC9">
            <w:pPr>
              <w:pStyle w:val="SCCLsocPartyRole"/>
              <w:rPr>
                <w:lang w:val="en-CA"/>
              </w:rPr>
            </w:pPr>
            <w:r w:rsidRPr="00FE7F09">
              <w:rPr>
                <w:lang w:val="en-CA"/>
              </w:rPr>
              <w:t>Applicant</w:t>
            </w:r>
            <w:r w:rsidRPr="00FE7F09">
              <w:rPr>
                <w:lang w:val="en-CA"/>
              </w:rPr>
              <w:br/>
            </w:r>
          </w:p>
          <w:p w14:paraId="2702C784" w14:textId="77777777" w:rsidR="007C529F" w:rsidRPr="00FE7F09" w:rsidRDefault="00960EC9">
            <w:pPr>
              <w:pStyle w:val="SCCLsocVersus"/>
              <w:rPr>
                <w:lang w:val="en-CA"/>
              </w:rPr>
            </w:pPr>
            <w:r w:rsidRPr="00FE7F09">
              <w:rPr>
                <w:lang w:val="en-CA"/>
              </w:rPr>
              <w:t>- and -</w:t>
            </w:r>
          </w:p>
          <w:p w14:paraId="30ACEA2C" w14:textId="77777777" w:rsidR="007C529F" w:rsidRPr="00FE7F09" w:rsidRDefault="007C529F">
            <w:pPr>
              <w:rPr>
                <w:lang w:val="en-CA"/>
              </w:rPr>
            </w:pPr>
          </w:p>
          <w:p w14:paraId="74A05DF1" w14:textId="77777777" w:rsidR="007C529F" w:rsidRDefault="00960EC9">
            <w:pPr>
              <w:pStyle w:val="SCCLsocParty"/>
            </w:pPr>
            <w:r>
              <w:t>K.L.</w:t>
            </w:r>
            <w:r>
              <w:br/>
            </w:r>
          </w:p>
          <w:p w14:paraId="4740DD16" w14:textId="77777777" w:rsidR="007C529F" w:rsidRDefault="00960EC9">
            <w:pPr>
              <w:pStyle w:val="SCCLsocPartyRole"/>
            </w:pPr>
            <w:r>
              <w:t>Respondent</w:t>
            </w:r>
          </w:p>
        </w:tc>
      </w:tr>
      <w:tr w:rsidR="00824412" w:rsidRPr="0062554E" w14:paraId="67CF497C" w14:textId="77777777" w:rsidTr="006D219C">
        <w:tc>
          <w:tcPr>
            <w:tcW w:w="2356" w:type="pct"/>
            <w:tcMar>
              <w:top w:w="0" w:type="dxa"/>
              <w:bottom w:w="0" w:type="dxa"/>
            </w:tcMar>
          </w:tcPr>
          <w:p w14:paraId="0FAF9B42" w14:textId="77777777" w:rsidR="00824412" w:rsidRPr="006D219C" w:rsidRDefault="00824412" w:rsidP="00375294"/>
        </w:tc>
        <w:tc>
          <w:tcPr>
            <w:tcW w:w="337" w:type="pct"/>
            <w:tcMar>
              <w:top w:w="0" w:type="dxa"/>
              <w:bottom w:w="0" w:type="dxa"/>
            </w:tcMar>
          </w:tcPr>
          <w:p w14:paraId="5EE3EEFE" w14:textId="77777777" w:rsidR="00824412" w:rsidRPr="006D219C" w:rsidRDefault="00824412" w:rsidP="00375294"/>
        </w:tc>
        <w:tc>
          <w:tcPr>
            <w:tcW w:w="2308" w:type="pct"/>
            <w:tcMar>
              <w:top w:w="0" w:type="dxa"/>
              <w:bottom w:w="0" w:type="dxa"/>
            </w:tcMar>
          </w:tcPr>
          <w:p w14:paraId="69547311" w14:textId="77777777" w:rsidR="00824412" w:rsidRPr="006D219C" w:rsidRDefault="00824412" w:rsidP="00B408F8"/>
        </w:tc>
      </w:tr>
      <w:tr w:rsidR="00824412" w:rsidRPr="006D219C" w14:paraId="11084ED4" w14:textId="77777777" w:rsidTr="006D219C">
        <w:tc>
          <w:tcPr>
            <w:tcW w:w="2356" w:type="pct"/>
          </w:tcPr>
          <w:p w14:paraId="164312FC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263C0778" w14:textId="77777777" w:rsidR="0027081E" w:rsidRPr="001E26DB" w:rsidRDefault="0027081E" w:rsidP="0027081E">
            <w:pPr>
              <w:jc w:val="center"/>
            </w:pPr>
          </w:p>
          <w:p w14:paraId="67F749BA" w14:textId="249E5AF7" w:rsidR="00824412" w:rsidRDefault="00960EC9" w:rsidP="0027081E">
            <w:pPr>
              <w:jc w:val="both"/>
            </w:pPr>
            <w:r w:rsidRPr="006D219C">
              <w:t>La requête pour</w:t>
            </w:r>
            <w:r w:rsidR="00535696" w:rsidRPr="00763CC9">
              <w:t xml:space="preserve"> utiliser un mode de signification </w:t>
            </w:r>
            <w:r w:rsidR="00535696" w:rsidRPr="00FE7F09">
              <w:t>différent</w:t>
            </w:r>
            <w:r w:rsidR="00535696" w:rsidRPr="006D219C" w:rsidDel="00535696">
              <w:t xml:space="preserve"> </w:t>
            </w:r>
            <w:r w:rsidRPr="006D219C">
              <w:t>de la demande d’autorisation d’appel</w:t>
            </w:r>
            <w:r w:rsidR="00121806" w:rsidRPr="006D219C">
              <w:t xml:space="preserve"> et</w:t>
            </w:r>
            <w:r w:rsidRPr="006D219C">
              <w:t xml:space="preserve"> </w:t>
            </w:r>
            <w:r w:rsidR="00121806" w:rsidRPr="006D219C">
              <w:t>l</w:t>
            </w:r>
            <w:r w:rsidRPr="006D219C">
              <w:t xml:space="preserve">a requête en prolongation du délai de signification et de dépôt de la demande d’autorisation d’appel </w:t>
            </w:r>
            <w:r w:rsidR="00121806" w:rsidRPr="006D219C">
              <w:t>sont</w:t>
            </w:r>
            <w:r w:rsidRPr="006D219C">
              <w:t xml:space="preserve"> accueillie</w:t>
            </w:r>
            <w:r w:rsidR="00121806" w:rsidRPr="006D219C">
              <w:t>s</w:t>
            </w:r>
            <w:r w:rsidRPr="006D219C">
              <w:t>.</w:t>
            </w:r>
            <w:r>
              <w:t xml:space="preserve"> </w:t>
            </w:r>
            <w:r w:rsidR="0027081E" w:rsidRPr="001E26DB">
              <w:t xml:space="preserve">La demande d’autorisation d’appel de l’arrêt de la </w:t>
            </w:r>
            <w:r w:rsidR="0027081E">
              <w:t>Cour d’appel du Québec (Montréal)</w:t>
            </w:r>
            <w:r w:rsidR="0027081E" w:rsidRPr="001E26DB">
              <w:t xml:space="preserve">, numéro </w:t>
            </w:r>
            <w:r w:rsidR="0027081E">
              <w:t xml:space="preserve">500-09-700215-239, </w:t>
            </w:r>
            <w:r w:rsidR="00535696" w:rsidRPr="006D219C">
              <w:t>2024 QCCA 247</w:t>
            </w:r>
            <w:r w:rsidR="0027081E" w:rsidRPr="001E26DB">
              <w:t xml:space="preserve">, daté du </w:t>
            </w:r>
            <w:r w:rsidR="0027081E">
              <w:t>26 février 2024</w:t>
            </w:r>
            <w:r w:rsidR="0027081E" w:rsidRPr="001E26DB">
              <w:t xml:space="preserve">, est </w:t>
            </w:r>
            <w:r>
              <w:t>rejetée</w:t>
            </w:r>
            <w:r w:rsidR="0027081E" w:rsidRPr="001E26DB">
              <w:t>.</w:t>
            </w:r>
          </w:p>
          <w:p w14:paraId="14D45B2F" w14:textId="77777777" w:rsidR="00622562" w:rsidRDefault="00622562" w:rsidP="0027081E">
            <w:pPr>
              <w:jc w:val="both"/>
            </w:pPr>
          </w:p>
          <w:p w14:paraId="31BAE228" w14:textId="778BAA50" w:rsidR="00622562" w:rsidRPr="001E26DB" w:rsidRDefault="00622562" w:rsidP="00D27D4E">
            <w:pPr>
              <w:jc w:val="both"/>
            </w:pPr>
          </w:p>
        </w:tc>
        <w:tc>
          <w:tcPr>
            <w:tcW w:w="337" w:type="pct"/>
          </w:tcPr>
          <w:p w14:paraId="6982E854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08" w:type="pct"/>
          </w:tcPr>
          <w:p w14:paraId="5E17C983" w14:textId="77777777" w:rsidR="0027081E" w:rsidRPr="006D219C" w:rsidRDefault="0027081E" w:rsidP="0027081E">
            <w:pPr>
              <w:jc w:val="center"/>
            </w:pPr>
            <w:r w:rsidRPr="006D219C">
              <w:t>JUDGMENT</w:t>
            </w:r>
          </w:p>
          <w:p w14:paraId="519A8F1D" w14:textId="77777777" w:rsidR="0027081E" w:rsidRPr="006D219C" w:rsidRDefault="0027081E" w:rsidP="0027081E">
            <w:pPr>
              <w:jc w:val="center"/>
            </w:pPr>
          </w:p>
          <w:p w14:paraId="31713449" w14:textId="28EB6A69" w:rsidR="00824412" w:rsidRDefault="00535696" w:rsidP="006C1359">
            <w:pPr>
              <w:jc w:val="both"/>
              <w:rPr>
                <w:lang w:val="en-CA"/>
              </w:rPr>
            </w:pPr>
            <w:r w:rsidRPr="006D219C">
              <w:rPr>
                <w:lang w:val="en-US"/>
              </w:rPr>
              <w:t xml:space="preserve">The motion for substitutional service of the application for leave to appeal </w:t>
            </w:r>
            <w:r>
              <w:rPr>
                <w:lang w:val="en-US"/>
              </w:rPr>
              <w:t>and</w:t>
            </w:r>
            <w:r w:rsidRPr="006D219C">
              <w:rPr>
                <w:lang w:val="en-US"/>
              </w:rPr>
              <w:t xml:space="preserve"> </w:t>
            </w:r>
            <w:r w:rsidR="00121806">
              <w:rPr>
                <w:lang w:val="en-US"/>
              </w:rPr>
              <w:t>t</w:t>
            </w:r>
            <w:r w:rsidRPr="006D219C">
              <w:rPr>
                <w:lang w:val="en-US"/>
              </w:rPr>
              <w:t>he motion for</w:t>
            </w:r>
            <w:r>
              <w:rPr>
                <w:lang w:val="en-US"/>
              </w:rPr>
              <w:t xml:space="preserve"> an</w:t>
            </w:r>
            <w:r w:rsidRPr="006D219C">
              <w:rPr>
                <w:lang w:val="en-US"/>
              </w:rPr>
              <w:t xml:space="preserve"> extension of time to serve </w:t>
            </w:r>
            <w:r w:rsidR="00121806">
              <w:rPr>
                <w:lang w:val="en-US"/>
              </w:rPr>
              <w:t xml:space="preserve">and file </w:t>
            </w:r>
            <w:r w:rsidRPr="006D219C">
              <w:rPr>
                <w:lang w:val="en-US"/>
              </w:rPr>
              <w:t xml:space="preserve">the application for leave to appeal </w:t>
            </w:r>
            <w:r w:rsidR="00121806">
              <w:rPr>
                <w:lang w:val="en-US"/>
              </w:rPr>
              <w:t>are</w:t>
            </w:r>
            <w:r w:rsidRPr="006D219C">
              <w:rPr>
                <w:lang w:val="en-US"/>
              </w:rPr>
              <w:t xml:space="preserve"> granted. </w:t>
            </w:r>
            <w:r w:rsidR="0027081E"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="0027081E" w:rsidRPr="001E26DB">
              <w:rPr>
                <w:lang w:val="en-CA"/>
              </w:rPr>
              <w:t xml:space="preserve"> </w:t>
            </w:r>
            <w:r w:rsidR="0027081E" w:rsidRPr="00960EC9">
              <w:rPr>
                <w:lang w:val="en-CA"/>
              </w:rPr>
              <w:t>Court of Appeal of Quebec (Montréal)</w:t>
            </w:r>
            <w:r w:rsidR="0027081E" w:rsidRPr="001E26DB">
              <w:rPr>
                <w:lang w:val="en-CA"/>
              </w:rPr>
              <w:t xml:space="preserve">, Number </w:t>
            </w:r>
            <w:r w:rsidR="0027081E" w:rsidRPr="00960EC9">
              <w:rPr>
                <w:lang w:val="en-CA"/>
              </w:rPr>
              <w:t xml:space="preserve">500-09-700215-239, </w:t>
            </w:r>
            <w:r w:rsidR="00C11C8A" w:rsidRPr="006D219C">
              <w:rPr>
                <w:lang w:val="en-US"/>
              </w:rPr>
              <w:t>2024 QCCA 247</w:t>
            </w:r>
            <w:r w:rsidR="0027081E" w:rsidRPr="001E26DB">
              <w:rPr>
                <w:lang w:val="en-CA"/>
              </w:rPr>
              <w:t xml:space="preserve">, dated </w:t>
            </w:r>
            <w:r w:rsidR="0027081E" w:rsidRPr="00960EC9">
              <w:rPr>
                <w:lang w:val="en-CA"/>
              </w:rPr>
              <w:t>February 26, 2024</w:t>
            </w:r>
            <w:r w:rsidR="00C11C8A">
              <w:rPr>
                <w:lang w:val="en-CA"/>
              </w:rPr>
              <w:t>,</w:t>
            </w:r>
            <w:r w:rsidR="0027081E" w:rsidRPr="001E26DB">
              <w:rPr>
                <w:lang w:val="en-CA"/>
              </w:rPr>
              <w:t xml:space="preserve"> is </w:t>
            </w:r>
            <w:r w:rsidR="00960EC9">
              <w:rPr>
                <w:lang w:val="en-CA"/>
              </w:rPr>
              <w:t>dismissed</w:t>
            </w:r>
            <w:r w:rsidR="0027081E"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5EEFABCF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2B9F157E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06C4DC82" w14:textId="77777777" w:rsidR="009F436C" w:rsidRPr="002C29B6" w:rsidRDefault="009F436C" w:rsidP="00382FEC">
      <w:pPr>
        <w:rPr>
          <w:lang w:val="en-US"/>
        </w:rPr>
      </w:pPr>
    </w:p>
    <w:p w14:paraId="494C1143" w14:textId="77777777" w:rsidR="009F436C" w:rsidRPr="002C29B6" w:rsidRDefault="009F436C" w:rsidP="00417FB7">
      <w:pPr>
        <w:jc w:val="center"/>
        <w:rPr>
          <w:lang w:val="en-US"/>
        </w:rPr>
      </w:pPr>
    </w:p>
    <w:p w14:paraId="063F0D5D" w14:textId="77777777" w:rsidR="009F436C" w:rsidRPr="002C29B6" w:rsidRDefault="009F436C" w:rsidP="00417FB7">
      <w:pPr>
        <w:jc w:val="center"/>
        <w:rPr>
          <w:lang w:val="en-US"/>
        </w:rPr>
      </w:pPr>
    </w:p>
    <w:p w14:paraId="3BF049FB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638A8728" w14:textId="6A5E1549" w:rsidR="009F436C" w:rsidRPr="002C29B6" w:rsidRDefault="00655333" w:rsidP="006D219C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sectPr w:rsidR="009F436C" w:rsidRPr="002C29B6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03413" w14:textId="77777777" w:rsidR="00D27D4E" w:rsidRDefault="00D27D4E">
      <w:r>
        <w:separator/>
      </w:r>
    </w:p>
  </w:endnote>
  <w:endnote w:type="continuationSeparator" w:id="0">
    <w:p w14:paraId="543A8309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35D3A" w14:textId="77777777" w:rsidR="00D27D4E" w:rsidRDefault="00D27D4E">
      <w:r>
        <w:separator/>
      </w:r>
    </w:p>
  </w:footnote>
  <w:footnote w:type="continuationSeparator" w:id="0">
    <w:p w14:paraId="23AC37AA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1505C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6D219C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5B4CDDD" w14:textId="77777777" w:rsidR="00401B64" w:rsidRDefault="00401B64" w:rsidP="00401B64">
    <w:pPr>
      <w:rPr>
        <w:szCs w:val="24"/>
      </w:rPr>
    </w:pPr>
  </w:p>
  <w:p w14:paraId="544A551A" w14:textId="77777777" w:rsidR="00401B64" w:rsidRDefault="00401B64" w:rsidP="00401B64">
    <w:pPr>
      <w:rPr>
        <w:szCs w:val="24"/>
      </w:rPr>
    </w:pPr>
  </w:p>
  <w:p w14:paraId="42AF9AAA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41178</w:t>
    </w:r>
    <w:r w:rsidR="00401B64">
      <w:rPr>
        <w:szCs w:val="24"/>
      </w:rPr>
      <w:t>     </w:t>
    </w:r>
  </w:p>
  <w:p w14:paraId="65CD4BE4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69A3E5D1" w14:textId="77777777" w:rsidR="000452C9" w:rsidRDefault="000452C9" w:rsidP="000452C9"/>
      <w:p w14:paraId="4FB4709F" w14:textId="77777777" w:rsidR="000452C9" w:rsidRPr="001E26DB" w:rsidRDefault="000452C9" w:rsidP="000452C9"/>
      <w:p w14:paraId="58515A9A" w14:textId="77777777" w:rsidR="000452C9" w:rsidRPr="001E26DB" w:rsidRDefault="000452C9" w:rsidP="000452C9"/>
      <w:p w14:paraId="440DB3CA" w14:textId="77777777" w:rsidR="000452C9" w:rsidRDefault="000452C9" w:rsidP="000452C9"/>
      <w:p w14:paraId="5CB73129" w14:textId="77777777" w:rsidR="000452C9" w:rsidRDefault="000452C9" w:rsidP="000452C9"/>
      <w:p w14:paraId="7AE5D77E" w14:textId="77777777" w:rsidR="000452C9" w:rsidRDefault="000452C9" w:rsidP="000452C9"/>
      <w:p w14:paraId="5E8908AA" w14:textId="77777777" w:rsidR="000452C9" w:rsidRDefault="000452C9" w:rsidP="000452C9"/>
      <w:p w14:paraId="4A1E4064" w14:textId="77777777" w:rsidR="000452C9" w:rsidRPr="001E26DB" w:rsidRDefault="000452C9" w:rsidP="000452C9"/>
      <w:p w14:paraId="059925FB" w14:textId="77777777" w:rsidR="000452C9" w:rsidRPr="001E26DB" w:rsidRDefault="000452C9" w:rsidP="000452C9"/>
      <w:p w14:paraId="5F52C601" w14:textId="77777777" w:rsidR="000452C9" w:rsidRDefault="000452C9" w:rsidP="000452C9">
        <w:pPr>
          <w:pStyle w:val="Header"/>
        </w:pPr>
      </w:p>
      <w:p w14:paraId="0582FA92" w14:textId="77777777" w:rsidR="001D6D96" w:rsidRPr="000452C9" w:rsidRDefault="00BA0256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21806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16998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35696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D219C"/>
    <w:rsid w:val="006F1DF9"/>
    <w:rsid w:val="00701109"/>
    <w:rsid w:val="007372EA"/>
    <w:rsid w:val="0076003F"/>
    <w:rsid w:val="0079129C"/>
    <w:rsid w:val="007919AE"/>
    <w:rsid w:val="007A54CC"/>
    <w:rsid w:val="007B340F"/>
    <w:rsid w:val="007C529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0EC9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0256"/>
    <w:rsid w:val="00BA7D71"/>
    <w:rsid w:val="00BD2A96"/>
    <w:rsid w:val="00BF682C"/>
    <w:rsid w:val="00BF7644"/>
    <w:rsid w:val="00C03E8E"/>
    <w:rsid w:val="00C11C8A"/>
    <w:rsid w:val="00C2612E"/>
    <w:rsid w:val="00C609B7"/>
    <w:rsid w:val="00CE0921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D4F58"/>
    <w:rsid w:val="00FE7F09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9950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15632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F6166-3B71-45E1-A89B-9B9B3B3B2251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8D6B8404-A447-4F81-9A84-97968E5E1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0336D-CA81-4124-AA26-1D36D9BD9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2024-08-26T18:35:00Z</dcterms:created>
  <dcterms:modified xsi:type="dcterms:W3CDTF">2024-08-26T18:35:00Z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