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DC62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41192</w:t>
      </w:r>
      <w:r w:rsidR="0016666F" w:rsidRPr="006E7BAE">
        <w:t>     </w:t>
      </w:r>
    </w:p>
    <w:p w14:paraId="2D07F0C8" w14:textId="77777777" w:rsidR="009F436C" w:rsidRPr="006E7BAE" w:rsidRDefault="009F436C" w:rsidP="00382FEC"/>
    <w:p w14:paraId="24ACF2F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721"/>
        <w:gridCol w:w="4319"/>
      </w:tblGrid>
      <w:tr w:rsidR="00417FB7" w:rsidRPr="006E7BAE" w14:paraId="48E64C00" w14:textId="77777777" w:rsidTr="00750EAF">
        <w:tc>
          <w:tcPr>
            <w:tcW w:w="2308" w:type="pct"/>
          </w:tcPr>
          <w:p w14:paraId="19F28E95" w14:textId="77777777" w:rsidR="00417FB7" w:rsidRPr="006E7BAE" w:rsidRDefault="000F42D6" w:rsidP="008262A3">
            <w:r>
              <w:t>September 19</w:t>
            </w:r>
            <w:r w:rsidR="00543EDD">
              <w:t>, 2024</w:t>
            </w:r>
          </w:p>
        </w:tc>
        <w:tc>
          <w:tcPr>
            <w:tcW w:w="385" w:type="pct"/>
          </w:tcPr>
          <w:p w14:paraId="0954A63A" w14:textId="77777777" w:rsidR="00417FB7" w:rsidRPr="006E7BAE" w:rsidRDefault="00417FB7" w:rsidP="00382FEC"/>
        </w:tc>
        <w:tc>
          <w:tcPr>
            <w:tcW w:w="2308" w:type="pct"/>
          </w:tcPr>
          <w:p w14:paraId="0F79A61C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0F42D6">
              <w:t>9</w:t>
            </w:r>
            <w:r>
              <w:t xml:space="preserve"> </w:t>
            </w:r>
            <w:r w:rsidR="000F42D6">
              <w:t>septembre</w:t>
            </w:r>
            <w:r>
              <w:t xml:space="preserve"> 2024</w:t>
            </w:r>
          </w:p>
        </w:tc>
      </w:tr>
      <w:tr w:rsidR="00E12A51" w:rsidRPr="006E7BAE" w14:paraId="04FDAE26" w14:textId="77777777" w:rsidTr="00750EAF">
        <w:tc>
          <w:tcPr>
            <w:tcW w:w="2308" w:type="pct"/>
            <w:tcMar>
              <w:top w:w="0" w:type="dxa"/>
              <w:bottom w:w="0" w:type="dxa"/>
            </w:tcMar>
          </w:tcPr>
          <w:p w14:paraId="45FE6EF2" w14:textId="77777777" w:rsidR="00C2612E" w:rsidRPr="006E7BAE" w:rsidRDefault="00C2612E" w:rsidP="008262A3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4CF316AD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24B9BFB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75E5F51" w14:textId="77777777" w:rsidTr="00750EAF">
        <w:tc>
          <w:tcPr>
            <w:tcW w:w="2308" w:type="pct"/>
          </w:tcPr>
          <w:p w14:paraId="130E9E48" w14:textId="77777777" w:rsidR="00CA2268" w:rsidRDefault="00CA2268"/>
          <w:p w14:paraId="32DAE5A8" w14:textId="77777777" w:rsidR="00CA2268" w:rsidRDefault="000F42D6">
            <w:pPr>
              <w:pStyle w:val="SCCLsocPrefix"/>
            </w:pPr>
            <w:r>
              <w:t>BETWEEN:</w:t>
            </w:r>
          </w:p>
          <w:p w14:paraId="49487BEA" w14:textId="77777777" w:rsidR="0003390D" w:rsidRPr="0003390D" w:rsidRDefault="0003390D" w:rsidP="00750EAF"/>
          <w:p w14:paraId="12A92C09" w14:textId="77777777" w:rsidR="00CA2268" w:rsidRDefault="000F42D6">
            <w:pPr>
              <w:pStyle w:val="SCCLsocParty"/>
            </w:pPr>
            <w:r>
              <w:t>Sorensen Trilogy Engineering Ltd., Brian McClure, Theodore Tracy Sorensen and Brian Douglas Lange</w:t>
            </w:r>
            <w:r>
              <w:br/>
            </w:r>
          </w:p>
          <w:p w14:paraId="7F0B0C1D" w14:textId="1FA68A16" w:rsidR="00CA2268" w:rsidRDefault="000F42D6">
            <w:pPr>
              <w:pStyle w:val="SCCLsocPartyRole"/>
            </w:pPr>
            <w:r>
              <w:t>Applicant</w:t>
            </w:r>
            <w:r w:rsidR="0003390D">
              <w:t>s</w:t>
            </w:r>
            <w:r>
              <w:br/>
            </w:r>
          </w:p>
          <w:p w14:paraId="65DCB33D" w14:textId="77777777" w:rsidR="00CA2268" w:rsidRDefault="000F42D6">
            <w:pPr>
              <w:pStyle w:val="SCCLsocVersus"/>
            </w:pPr>
            <w:r>
              <w:t>- and -</w:t>
            </w:r>
          </w:p>
          <w:p w14:paraId="5ED50AFE" w14:textId="77777777" w:rsidR="00CA2268" w:rsidRDefault="00CA2268"/>
          <w:p w14:paraId="2E139854" w14:textId="77777777" w:rsidR="00CA2268" w:rsidRDefault="000F42D6">
            <w:pPr>
              <w:pStyle w:val="SCCLsocParty"/>
            </w:pPr>
            <w:r>
              <w:t>Centurion Apartment Properties Limited Partnership and Centurion Apartment Properties (Danbrook One) Inc., Loco Investments Inc., Margaret McKay, DB Services of Victoria Inc.</w:t>
            </w:r>
            <w:r>
              <w:br/>
            </w:r>
          </w:p>
          <w:p w14:paraId="40C79121" w14:textId="77777777" w:rsidR="00CA2268" w:rsidRDefault="000F42D6">
            <w:pPr>
              <w:pStyle w:val="SCCLsocPartyRole"/>
            </w:pPr>
            <w:r>
              <w:t>Respondents</w:t>
            </w:r>
            <w:r>
              <w:br/>
            </w:r>
          </w:p>
          <w:p w14:paraId="431764D2" w14:textId="77777777" w:rsidR="00CA2268" w:rsidRDefault="000F42D6">
            <w:pPr>
              <w:pStyle w:val="SCCLsocSubfileSeparator"/>
            </w:pPr>
            <w:r>
              <w:t>AND BETWEEN:</w:t>
            </w:r>
          </w:p>
          <w:p w14:paraId="7383B137" w14:textId="77777777" w:rsidR="00CA2268" w:rsidRDefault="00CA2268"/>
          <w:p w14:paraId="1E327E86" w14:textId="77777777" w:rsidR="00CA2268" w:rsidRDefault="000F42D6">
            <w:pPr>
              <w:pStyle w:val="SCCLsocParty"/>
            </w:pPr>
            <w:r>
              <w:t>Sorensen Trilogy Engineering Ltd., Brian McClure, Theodore Tracy Sorensen and Brian Douglas Lange</w:t>
            </w:r>
            <w:r>
              <w:br/>
            </w:r>
          </w:p>
          <w:p w14:paraId="122C91C1" w14:textId="189CE586" w:rsidR="00CA2268" w:rsidRDefault="000F42D6">
            <w:pPr>
              <w:pStyle w:val="SCCLsocPartyRole"/>
            </w:pPr>
            <w:r>
              <w:t>Applicant</w:t>
            </w:r>
            <w:r w:rsidR="0003390D">
              <w:t>s</w:t>
            </w:r>
            <w:r>
              <w:br/>
            </w:r>
          </w:p>
          <w:p w14:paraId="52E05FFF" w14:textId="77777777" w:rsidR="00CA2268" w:rsidRDefault="000F42D6">
            <w:pPr>
              <w:pStyle w:val="SCCLsocVersus"/>
            </w:pPr>
            <w:r>
              <w:t>- and -</w:t>
            </w:r>
          </w:p>
          <w:p w14:paraId="04CF8D09" w14:textId="77777777" w:rsidR="00CA2268" w:rsidRDefault="00CA2268"/>
          <w:p w14:paraId="29624C1E" w14:textId="77777777" w:rsidR="00CA2268" w:rsidRDefault="000F42D6">
            <w:pPr>
              <w:pStyle w:val="SCCLsocParty"/>
            </w:pPr>
            <w:r>
              <w:t xml:space="preserve">Loco Investments Inc., Margaret McKay, DB Services of Victoria Inc., Centurion Apartment Properties Limited Partnership </w:t>
            </w:r>
            <w:r>
              <w:lastRenderedPageBreak/>
              <w:t>and Centurion Apartment Properties (Danbrook One) Inc.</w:t>
            </w:r>
            <w:r>
              <w:br/>
            </w:r>
          </w:p>
          <w:p w14:paraId="3B0ED711" w14:textId="77777777" w:rsidR="00CA2268" w:rsidRDefault="000F42D6">
            <w:pPr>
              <w:pStyle w:val="SCCLsocPartyRole"/>
            </w:pPr>
            <w:r>
              <w:t>Respondents</w:t>
            </w:r>
          </w:p>
        </w:tc>
        <w:tc>
          <w:tcPr>
            <w:tcW w:w="385" w:type="pct"/>
          </w:tcPr>
          <w:p w14:paraId="435D7B8C" w14:textId="77777777" w:rsidR="00824412" w:rsidRPr="006E7BAE" w:rsidRDefault="00824412" w:rsidP="00375294"/>
        </w:tc>
        <w:tc>
          <w:tcPr>
            <w:tcW w:w="2308" w:type="pct"/>
          </w:tcPr>
          <w:p w14:paraId="74597190" w14:textId="77777777" w:rsidR="00CA2268" w:rsidRDefault="00CA2268"/>
          <w:p w14:paraId="26669AFF" w14:textId="77777777" w:rsidR="00CA2268" w:rsidRDefault="000F42D6">
            <w:pPr>
              <w:pStyle w:val="SCCLsocPrefix"/>
            </w:pPr>
            <w:r>
              <w:t>ENTRE :</w:t>
            </w:r>
          </w:p>
          <w:p w14:paraId="7CC6AB3A" w14:textId="77777777" w:rsidR="0003390D" w:rsidRPr="0003390D" w:rsidRDefault="0003390D" w:rsidP="00750EAF"/>
          <w:p w14:paraId="495501E0" w14:textId="7EAB9270" w:rsidR="00CA2268" w:rsidRDefault="000F42D6">
            <w:pPr>
              <w:pStyle w:val="SCCLsocParty"/>
            </w:pPr>
            <w:r>
              <w:t xml:space="preserve">Sorensen Trilogy Engineering Ltd., Brian McClure, Theodore Tracy Sorensen </w:t>
            </w:r>
            <w:r w:rsidR="0003390D">
              <w:t xml:space="preserve">et </w:t>
            </w:r>
            <w:r>
              <w:t>Brian Douglas Lange</w:t>
            </w:r>
            <w:r>
              <w:br/>
            </w:r>
          </w:p>
          <w:p w14:paraId="5D35D506" w14:textId="03459660" w:rsidR="00CA2268" w:rsidRDefault="000F42D6">
            <w:pPr>
              <w:pStyle w:val="SCCLsocPartyRole"/>
            </w:pPr>
            <w:r>
              <w:t>Demandeur</w:t>
            </w:r>
            <w:r w:rsidR="0003390D">
              <w:t>s</w:t>
            </w:r>
            <w:r>
              <w:br/>
            </w:r>
          </w:p>
          <w:p w14:paraId="753A4189" w14:textId="77777777" w:rsidR="00CA2268" w:rsidRDefault="000F42D6">
            <w:pPr>
              <w:pStyle w:val="SCCLsocVersus"/>
            </w:pPr>
            <w:r>
              <w:t>- et -</w:t>
            </w:r>
          </w:p>
          <w:p w14:paraId="56F1165C" w14:textId="77777777" w:rsidR="00CA2268" w:rsidRDefault="00CA2268"/>
          <w:p w14:paraId="79F3AF58" w14:textId="171DC8A1" w:rsidR="00CA2268" w:rsidRDefault="000F42D6">
            <w:pPr>
              <w:pStyle w:val="SCCLsocParty"/>
            </w:pPr>
            <w:r>
              <w:t>Centurion Apartment Properties Limited Partnership and Centurion Apartment Properties (Danbrook One) Inc., Loco Investments Inc., Margaret McKay</w:t>
            </w:r>
            <w:r w:rsidR="0003390D">
              <w:t xml:space="preserve"> et</w:t>
            </w:r>
            <w:r>
              <w:t xml:space="preserve"> DB Services of Victoria Inc.</w:t>
            </w:r>
            <w:r>
              <w:br/>
            </w:r>
          </w:p>
          <w:p w14:paraId="149AC0B4" w14:textId="201550F7" w:rsidR="00CA2268" w:rsidRPr="00DC43EC" w:rsidRDefault="000F42D6">
            <w:pPr>
              <w:pStyle w:val="SCCLsocPartyRole"/>
              <w:rPr>
                <w:lang w:val="fr-CA"/>
              </w:rPr>
            </w:pPr>
            <w:r w:rsidRPr="00DC43EC">
              <w:rPr>
                <w:lang w:val="fr-CA"/>
              </w:rPr>
              <w:t>Intimé</w:t>
            </w:r>
            <w:r w:rsidR="00FE5639" w:rsidRPr="00750EAF">
              <w:rPr>
                <w:lang w:val="fr-CA"/>
              </w:rPr>
              <w:t>e</w:t>
            </w:r>
            <w:r w:rsidRPr="00DC43EC">
              <w:rPr>
                <w:lang w:val="fr-CA"/>
              </w:rPr>
              <w:t>s</w:t>
            </w:r>
            <w:r w:rsidRPr="00DC43EC">
              <w:rPr>
                <w:lang w:val="fr-CA"/>
              </w:rPr>
              <w:br/>
            </w:r>
          </w:p>
          <w:p w14:paraId="0FDF6514" w14:textId="77777777" w:rsidR="00CA2268" w:rsidRPr="00DC43EC" w:rsidRDefault="000F42D6">
            <w:pPr>
              <w:pStyle w:val="SCCLsocSubfileSeparator"/>
              <w:rPr>
                <w:lang w:val="fr-CA"/>
              </w:rPr>
            </w:pPr>
            <w:r w:rsidRPr="00DC43EC">
              <w:rPr>
                <w:lang w:val="fr-CA"/>
              </w:rPr>
              <w:t>ET ENTRE :</w:t>
            </w:r>
          </w:p>
          <w:p w14:paraId="08355FC6" w14:textId="77777777" w:rsidR="00CA2268" w:rsidRPr="00DC43EC" w:rsidRDefault="00CA2268">
            <w:pPr>
              <w:rPr>
                <w:lang w:val="fr-CA"/>
              </w:rPr>
            </w:pPr>
          </w:p>
          <w:p w14:paraId="02A7E88E" w14:textId="6CA6785D" w:rsidR="00CA2268" w:rsidRPr="00750EAF" w:rsidRDefault="000F42D6">
            <w:pPr>
              <w:pStyle w:val="SCCLsocParty"/>
              <w:rPr>
                <w:lang w:val="en-US"/>
              </w:rPr>
            </w:pPr>
            <w:r w:rsidRPr="00750EAF">
              <w:rPr>
                <w:lang w:val="en-US"/>
              </w:rPr>
              <w:t xml:space="preserve">Sorensen Trilogy Engineering Ltd., Brian McClure, Theodore Tracy Sorensen </w:t>
            </w:r>
            <w:r w:rsidR="0003390D" w:rsidRPr="00750EAF">
              <w:rPr>
                <w:lang w:val="en-US"/>
              </w:rPr>
              <w:t xml:space="preserve">et </w:t>
            </w:r>
            <w:r w:rsidRPr="00750EAF">
              <w:rPr>
                <w:lang w:val="en-US"/>
              </w:rPr>
              <w:t>Brian Douglas Lange</w:t>
            </w:r>
            <w:r w:rsidRPr="00750EAF">
              <w:rPr>
                <w:lang w:val="en-US"/>
              </w:rPr>
              <w:br/>
            </w:r>
          </w:p>
          <w:p w14:paraId="7E9136D8" w14:textId="673D4196" w:rsidR="00CA2268" w:rsidRPr="00750EAF" w:rsidRDefault="000F42D6">
            <w:pPr>
              <w:pStyle w:val="SCCLsocPartyRole"/>
              <w:rPr>
                <w:lang w:val="fr-CA"/>
              </w:rPr>
            </w:pPr>
            <w:r w:rsidRPr="00750EAF">
              <w:rPr>
                <w:lang w:val="fr-CA"/>
              </w:rPr>
              <w:t>Demandeur</w:t>
            </w:r>
            <w:r w:rsidR="0003390D" w:rsidRPr="00750EAF">
              <w:rPr>
                <w:lang w:val="fr-CA"/>
              </w:rPr>
              <w:t>s</w:t>
            </w:r>
            <w:r w:rsidRPr="00750EAF">
              <w:rPr>
                <w:lang w:val="fr-CA"/>
              </w:rPr>
              <w:br/>
            </w:r>
          </w:p>
          <w:p w14:paraId="23F20392" w14:textId="77777777" w:rsidR="00CA2268" w:rsidRPr="00750EAF" w:rsidRDefault="000F42D6">
            <w:pPr>
              <w:pStyle w:val="SCCLsocVersus"/>
              <w:rPr>
                <w:lang w:val="fr-CA"/>
              </w:rPr>
            </w:pPr>
            <w:r w:rsidRPr="00750EAF">
              <w:rPr>
                <w:lang w:val="fr-CA"/>
              </w:rPr>
              <w:t>- et -</w:t>
            </w:r>
          </w:p>
          <w:p w14:paraId="167FAF44" w14:textId="77777777" w:rsidR="00CA2268" w:rsidRPr="00750EAF" w:rsidRDefault="00CA2268">
            <w:pPr>
              <w:rPr>
                <w:lang w:val="fr-CA"/>
              </w:rPr>
            </w:pPr>
          </w:p>
          <w:p w14:paraId="3B737229" w14:textId="2892556F" w:rsidR="00CA2268" w:rsidRDefault="000F42D6">
            <w:pPr>
              <w:pStyle w:val="SCCLsocParty"/>
            </w:pPr>
            <w:r>
              <w:t xml:space="preserve">Loco Investments Inc., Margaret McKay, DB Services of Victoria Inc., Centurion Apartment Properties Limited Partnership </w:t>
            </w:r>
            <w:r w:rsidR="00DC43EC">
              <w:lastRenderedPageBreak/>
              <w:t>et Centurion</w:t>
            </w:r>
            <w:r>
              <w:t xml:space="preserve"> Apartment Properties (Danbrook One) Inc.</w:t>
            </w:r>
            <w:r>
              <w:br/>
            </w:r>
          </w:p>
          <w:p w14:paraId="56EF5A0C" w14:textId="6CCFE57A" w:rsidR="00CA2268" w:rsidRDefault="000F42D6">
            <w:pPr>
              <w:pStyle w:val="SCCLsocPartyRole"/>
            </w:pPr>
            <w:r>
              <w:t>Intimé</w:t>
            </w:r>
            <w:r w:rsidR="00FE5639">
              <w:t>e</w:t>
            </w:r>
            <w:r>
              <w:t>s</w:t>
            </w:r>
          </w:p>
        </w:tc>
      </w:tr>
      <w:tr w:rsidR="00824412" w:rsidRPr="006E7BAE" w14:paraId="2766C164" w14:textId="77777777" w:rsidTr="00750EAF">
        <w:tc>
          <w:tcPr>
            <w:tcW w:w="2308" w:type="pct"/>
            <w:tcMar>
              <w:top w:w="0" w:type="dxa"/>
              <w:bottom w:w="0" w:type="dxa"/>
            </w:tcMar>
          </w:tcPr>
          <w:p w14:paraId="3A7B81EA" w14:textId="77777777" w:rsidR="00824412" w:rsidRPr="006E7BAE" w:rsidRDefault="00824412" w:rsidP="00375294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2F33BF88" w14:textId="77777777" w:rsidR="00824412" w:rsidRPr="006E7BAE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6F478FD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50EAF" w14:paraId="2F080B7E" w14:textId="77777777" w:rsidTr="00750EAF">
        <w:tc>
          <w:tcPr>
            <w:tcW w:w="2308" w:type="pct"/>
          </w:tcPr>
          <w:p w14:paraId="2C15E47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EEB23A4" w14:textId="77777777" w:rsidR="00824412" w:rsidRPr="006E7BAE" w:rsidRDefault="00824412" w:rsidP="00417FB7">
            <w:pPr>
              <w:jc w:val="center"/>
            </w:pPr>
          </w:p>
          <w:p w14:paraId="7DC32610" w14:textId="22D4319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FE5639">
              <w:t>s</w:t>
            </w:r>
            <w:r w:rsidRPr="006E7BAE">
              <w:t xml:space="preserve"> </w:t>
            </w:r>
            <w:r>
              <w:t>CA48819</w:t>
            </w:r>
            <w:r w:rsidR="00DC43EC">
              <w:t xml:space="preserve"> and</w:t>
            </w:r>
            <w:r>
              <w:t xml:space="preserve"> CA48832, </w:t>
            </w:r>
            <w:r w:rsidR="00FE5639" w:rsidRPr="00750EAF">
              <w:rPr>
                <w:rStyle w:val="Hyperlink"/>
                <w:color w:val="000000" w:themeColor="text1"/>
                <w:u w:val="none"/>
              </w:rPr>
              <w:t>2024 BCCA 25</w:t>
            </w:r>
            <w:r w:rsidRPr="006E7BAE">
              <w:t xml:space="preserve">, dated </w:t>
            </w:r>
            <w:r>
              <w:t>January 24, 2024</w:t>
            </w:r>
            <w:r w:rsidR="0022629F">
              <w:t>,</w:t>
            </w:r>
            <w:r w:rsidRPr="006E7BAE">
              <w:t xml:space="preserve"> is</w:t>
            </w:r>
            <w:r w:rsidR="000F42D6">
              <w:t xml:space="preserve"> dismissed </w:t>
            </w:r>
            <w:r w:rsidR="000F42D6" w:rsidRPr="000F42D6">
              <w:t>with costs to the respondents Centurion Apartment Properties Limited Partnership, Centurion Apartment Properties (Danbrook One) Inc., Loco Investments Inc. and Margaret McKay</w:t>
            </w:r>
            <w:r w:rsidRPr="006E7BAE">
              <w:t>.</w:t>
            </w:r>
          </w:p>
          <w:p w14:paraId="42982BB3" w14:textId="77777777" w:rsidR="003F6511" w:rsidRDefault="003F6511" w:rsidP="00011960">
            <w:pPr>
              <w:jc w:val="both"/>
            </w:pPr>
          </w:p>
          <w:p w14:paraId="62D13D7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5" w:type="pct"/>
          </w:tcPr>
          <w:p w14:paraId="10306E2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2CFE992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E47000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4D80A18" w14:textId="2C35AB2C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F42D6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FE5639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0F42D6">
              <w:rPr>
                <w:lang w:val="fr-CA"/>
              </w:rPr>
              <w:t>CA48819</w:t>
            </w:r>
            <w:r w:rsidR="00DC43EC">
              <w:rPr>
                <w:lang w:val="fr-CA"/>
              </w:rPr>
              <w:t xml:space="preserve"> et</w:t>
            </w:r>
            <w:r w:rsidRPr="000F42D6">
              <w:rPr>
                <w:lang w:val="fr-CA"/>
              </w:rPr>
              <w:t xml:space="preserve"> CA48832, </w:t>
            </w:r>
            <w:r w:rsidR="0022629F" w:rsidRPr="00750EAF">
              <w:rPr>
                <w:lang w:val="fr-CA"/>
              </w:rPr>
              <w:t>2024 BCCA 25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F42D6">
              <w:rPr>
                <w:lang w:val="fr-CA"/>
              </w:rPr>
              <w:t>24 janvier 2024</w:t>
            </w:r>
            <w:r w:rsidRPr="006E7BAE">
              <w:rPr>
                <w:lang w:val="fr-CA"/>
              </w:rPr>
              <w:t xml:space="preserve">, est </w:t>
            </w:r>
            <w:r w:rsidR="000F42D6">
              <w:rPr>
                <w:lang w:val="fr-CA"/>
              </w:rPr>
              <w:t xml:space="preserve">rejetée avec dépens aux intimés </w:t>
            </w:r>
            <w:r w:rsidR="000F42D6" w:rsidRPr="000F42D6">
              <w:rPr>
                <w:lang w:val="fr-CA"/>
              </w:rPr>
              <w:t xml:space="preserve">Centurion Apartment Properties Limited Partnership, Centurion Apartment Properties (Danbrook One) Inc., Loco Investments Inc. </w:t>
            </w:r>
            <w:r w:rsidR="000F42D6">
              <w:rPr>
                <w:lang w:val="fr-CA"/>
              </w:rPr>
              <w:t>et</w:t>
            </w:r>
            <w:r w:rsidR="000F42D6" w:rsidRPr="000F42D6">
              <w:rPr>
                <w:lang w:val="fr-CA"/>
              </w:rPr>
              <w:t xml:space="preserve"> Margaret McKay</w:t>
            </w:r>
            <w:r w:rsidR="000F42D6">
              <w:rPr>
                <w:lang w:val="fr-CA"/>
              </w:rPr>
              <w:t>.</w:t>
            </w:r>
          </w:p>
        </w:tc>
      </w:tr>
    </w:tbl>
    <w:p w14:paraId="62ADB345" w14:textId="77777777" w:rsidR="009F436C" w:rsidRPr="00D83B8C" w:rsidRDefault="009F436C" w:rsidP="00382FEC">
      <w:pPr>
        <w:rPr>
          <w:lang w:val="fr-CA"/>
        </w:rPr>
      </w:pPr>
    </w:p>
    <w:p w14:paraId="3CC33762" w14:textId="77777777" w:rsidR="009F436C" w:rsidRPr="00D83B8C" w:rsidRDefault="009F436C" w:rsidP="00417FB7">
      <w:pPr>
        <w:jc w:val="center"/>
        <w:rPr>
          <w:lang w:val="fr-CA"/>
        </w:rPr>
      </w:pPr>
    </w:p>
    <w:p w14:paraId="283071DC" w14:textId="77777777" w:rsidR="009F436C" w:rsidRDefault="009F436C" w:rsidP="00417FB7">
      <w:pPr>
        <w:jc w:val="center"/>
        <w:rPr>
          <w:lang w:val="fr-CA"/>
        </w:rPr>
      </w:pPr>
    </w:p>
    <w:p w14:paraId="66CC61B6" w14:textId="77777777" w:rsidR="000F42D6" w:rsidRPr="00D83B8C" w:rsidRDefault="000F42D6" w:rsidP="00750EAF">
      <w:pPr>
        <w:rPr>
          <w:lang w:val="fr-CA"/>
        </w:rPr>
      </w:pPr>
    </w:p>
    <w:p w14:paraId="49CD678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8094270" w14:textId="77777777" w:rsidR="009F436C" w:rsidRPr="00D83B8C" w:rsidRDefault="003A37CF" w:rsidP="000F42D6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10B55" w14:textId="77777777" w:rsidR="00983D48" w:rsidRDefault="00983D48">
      <w:r>
        <w:separator/>
      </w:r>
    </w:p>
  </w:endnote>
  <w:endnote w:type="continuationSeparator" w:id="0">
    <w:p w14:paraId="446C97A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0A5E5" w14:textId="77777777" w:rsidR="00983D48" w:rsidRDefault="00983D48">
      <w:r>
        <w:separator/>
      </w:r>
    </w:p>
  </w:footnote>
  <w:footnote w:type="continuationSeparator" w:id="0">
    <w:p w14:paraId="3019319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A0F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8048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91A64BF" w14:textId="77777777" w:rsidR="008F53F3" w:rsidRDefault="008F53F3" w:rsidP="008F53F3">
    <w:pPr>
      <w:rPr>
        <w:szCs w:val="24"/>
      </w:rPr>
    </w:pPr>
  </w:p>
  <w:p w14:paraId="4497C9A1" w14:textId="77777777" w:rsidR="008F53F3" w:rsidRDefault="008F53F3" w:rsidP="008F53F3">
    <w:pPr>
      <w:rPr>
        <w:szCs w:val="24"/>
      </w:rPr>
    </w:pPr>
  </w:p>
  <w:p w14:paraId="0E1F01F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41192</w:t>
    </w:r>
    <w:r>
      <w:rPr>
        <w:szCs w:val="24"/>
      </w:rPr>
      <w:t>     </w:t>
    </w:r>
  </w:p>
  <w:p w14:paraId="569AA6A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9ECCF57" w14:textId="77777777" w:rsidR="0073151A" w:rsidRDefault="0073151A" w:rsidP="0073151A"/>
      <w:p w14:paraId="7CDB0030" w14:textId="77777777" w:rsidR="0073151A" w:rsidRPr="006E7BAE" w:rsidRDefault="0073151A" w:rsidP="0073151A"/>
      <w:p w14:paraId="78A32B7E" w14:textId="77777777" w:rsidR="0073151A" w:rsidRPr="006E7BAE" w:rsidRDefault="0073151A" w:rsidP="0073151A"/>
      <w:p w14:paraId="26C87CEE" w14:textId="77777777" w:rsidR="0073151A" w:rsidRPr="006E7BAE" w:rsidRDefault="0073151A" w:rsidP="0073151A"/>
      <w:p w14:paraId="746D8F8C" w14:textId="77777777" w:rsidR="0073151A" w:rsidRDefault="0073151A" w:rsidP="0073151A"/>
      <w:p w14:paraId="2A28ECF0" w14:textId="77777777" w:rsidR="0073151A" w:rsidRDefault="0073151A" w:rsidP="0073151A"/>
      <w:p w14:paraId="7F168F6C" w14:textId="77777777" w:rsidR="0073151A" w:rsidRDefault="0073151A" w:rsidP="0073151A"/>
      <w:p w14:paraId="1F891314" w14:textId="77777777" w:rsidR="0073151A" w:rsidRDefault="0073151A" w:rsidP="0073151A"/>
      <w:p w14:paraId="68ADAF05" w14:textId="77777777" w:rsidR="0073151A" w:rsidRDefault="0073151A" w:rsidP="0073151A"/>
      <w:p w14:paraId="6A203AF7" w14:textId="77777777" w:rsidR="0073151A" w:rsidRPr="006E7BAE" w:rsidRDefault="0073151A" w:rsidP="0073151A"/>
      <w:p w14:paraId="71830200" w14:textId="77777777" w:rsidR="00ED265D" w:rsidRPr="0073151A" w:rsidRDefault="00F8048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390D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42D6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2629F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61261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50EAF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A2268"/>
    <w:rsid w:val="00CB2B73"/>
    <w:rsid w:val="00CE249F"/>
    <w:rsid w:val="00CF17D0"/>
    <w:rsid w:val="00D42339"/>
    <w:rsid w:val="00D61AC2"/>
    <w:rsid w:val="00D83B8C"/>
    <w:rsid w:val="00DA4281"/>
    <w:rsid w:val="00DB1ADC"/>
    <w:rsid w:val="00DC43E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0482"/>
    <w:rsid w:val="00F84E07"/>
    <w:rsid w:val="00F874E6"/>
    <w:rsid w:val="00FC2BB0"/>
    <w:rsid w:val="00FD4F58"/>
    <w:rsid w:val="00FE5639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460E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15646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03FEC-353D-4346-8FAB-8816211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6A8E-B150-4627-971E-D582B6AFAA98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40ae4924-d04e-473c-aafa-3657aad971d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D15DB-3422-4FF4-B829-418A548FE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2024-09-16T18:39:00Z</dcterms:created>
  <dcterms:modified xsi:type="dcterms:W3CDTF">2024-09-16T18:39:00Z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